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45E0" w14:textId="7CD414D6" w:rsidR="00BC7280" w:rsidRPr="0020626A" w:rsidRDefault="00BC7280" w:rsidP="00BC7280">
      <w:pPr>
        <w:spacing w:after="200" w:line="276" w:lineRule="auto"/>
        <w:jc w:val="center"/>
        <w:rPr>
          <w:rFonts w:ascii="Arial" w:eastAsia="Arial" w:hAnsi="Arial" w:cs="Arial"/>
          <w:b/>
          <w:caps/>
          <w:lang w:val="lt-LT"/>
        </w:rPr>
      </w:pPr>
      <w:r w:rsidRPr="0020626A">
        <w:rPr>
          <w:rFonts w:ascii="Arial" w:eastAsia="Arial" w:hAnsi="Arial" w:cs="Arial"/>
          <w:b/>
          <w:caps/>
          <w:lang w:val="lt-LT"/>
        </w:rPr>
        <w:t xml:space="preserve">INFORMACIJA APIE PATVIRTINTĄ </w:t>
      </w:r>
      <w:r w:rsidR="009221CC">
        <w:rPr>
          <w:rFonts w:ascii="Arial" w:eastAsia="Arial" w:hAnsi="Arial" w:cs="Arial"/>
          <w:b/>
          <w:caps/>
          <w:lang w:val="lt-LT"/>
        </w:rPr>
        <w:t>Alytaus</w:t>
      </w:r>
      <w:r w:rsidRPr="0020626A">
        <w:rPr>
          <w:rFonts w:ascii="Arial" w:eastAsia="Arial" w:hAnsi="Arial" w:cs="Arial"/>
          <w:b/>
          <w:caps/>
          <w:lang w:val="lt-LT"/>
        </w:rPr>
        <w:t xml:space="preserve"> regiono atliekų prevencijos ir tvarkymo 2021-2027 metų planą</w:t>
      </w:r>
    </w:p>
    <w:p w14:paraId="41969A79" w14:textId="77777777" w:rsidR="00BC7280" w:rsidRPr="0020626A" w:rsidRDefault="00BC7280" w:rsidP="00960CB9">
      <w:pPr>
        <w:jc w:val="both"/>
        <w:rPr>
          <w:rFonts w:ascii="Arial" w:eastAsiaTheme="minorHAnsi" w:hAnsi="Arial" w:cs="Arial"/>
          <w:color w:val="000000"/>
          <w:kern w:val="0"/>
          <w:lang w:val="lt-LT" w:eastAsia="en-US"/>
          <w14:ligatures w14:val="none"/>
        </w:rPr>
      </w:pPr>
    </w:p>
    <w:p w14:paraId="686E4675" w14:textId="2CA5271A" w:rsidR="00A639E5" w:rsidRPr="0020626A" w:rsidRDefault="009221CC" w:rsidP="00960CB9">
      <w:pPr>
        <w:jc w:val="both"/>
        <w:rPr>
          <w:rFonts w:ascii="Arial" w:eastAsiaTheme="minorHAnsi" w:hAnsi="Arial" w:cs="Arial"/>
          <w:color w:val="000000"/>
          <w:kern w:val="0"/>
          <w:lang w:val="lt-LT" w:eastAsia="en-US"/>
          <w14:ligatures w14:val="none"/>
        </w:rPr>
      </w:pPr>
      <w:r>
        <w:rPr>
          <w:rFonts w:ascii="Arial" w:eastAsiaTheme="minorHAnsi" w:hAnsi="Arial" w:cs="Arial"/>
          <w:color w:val="000000"/>
          <w:kern w:val="0"/>
          <w:lang w:val="lt-LT" w:eastAsia="en-US"/>
          <w14:ligatures w14:val="none"/>
        </w:rPr>
        <w:t>Alytaus</w:t>
      </w:r>
      <w:r w:rsidR="006D5E38" w:rsidRPr="0020626A">
        <w:rPr>
          <w:rFonts w:ascii="Arial" w:eastAsiaTheme="minorHAnsi" w:hAnsi="Arial" w:cs="Arial"/>
          <w:color w:val="000000"/>
          <w:kern w:val="0"/>
          <w:lang w:val="lt-LT" w:eastAsia="en-US"/>
          <w14:ligatures w14:val="none"/>
        </w:rPr>
        <w:t xml:space="preserve"> regiono atliekų prevencijos ir tvarkymo 2021-2027 metų planas (toliau Planas) patvirtintas 2023 m. </w:t>
      </w:r>
      <w:r>
        <w:rPr>
          <w:rFonts w:ascii="Arial" w:eastAsiaTheme="minorHAnsi" w:hAnsi="Arial" w:cs="Arial"/>
          <w:color w:val="000000"/>
          <w:kern w:val="0"/>
          <w:lang w:val="lt-LT" w:eastAsia="en-US"/>
          <w14:ligatures w14:val="none"/>
        </w:rPr>
        <w:t>lapkričio 13</w:t>
      </w:r>
      <w:r w:rsidR="006D5E38" w:rsidRPr="0020626A">
        <w:rPr>
          <w:rFonts w:ascii="Arial" w:eastAsiaTheme="minorHAnsi" w:hAnsi="Arial" w:cs="Arial"/>
          <w:color w:val="000000"/>
          <w:kern w:val="0"/>
          <w:lang w:val="lt-LT" w:eastAsia="en-US"/>
          <w14:ligatures w14:val="none"/>
        </w:rPr>
        <w:t xml:space="preserve"> d. </w:t>
      </w:r>
      <w:r>
        <w:rPr>
          <w:rFonts w:ascii="Arial" w:eastAsiaTheme="minorHAnsi" w:hAnsi="Arial" w:cs="Arial"/>
          <w:color w:val="000000"/>
          <w:kern w:val="0"/>
          <w:lang w:val="lt-LT" w:eastAsia="en-US"/>
          <w14:ligatures w14:val="none"/>
        </w:rPr>
        <w:t>Alytaus</w:t>
      </w:r>
      <w:r w:rsidR="006D5E38" w:rsidRPr="0020626A">
        <w:rPr>
          <w:rFonts w:ascii="Arial" w:eastAsiaTheme="minorHAnsi" w:hAnsi="Arial" w:cs="Arial"/>
          <w:color w:val="000000"/>
          <w:kern w:val="0"/>
          <w:lang w:val="lt-LT" w:eastAsia="en-US"/>
          <w14:ligatures w14:val="none"/>
        </w:rPr>
        <w:t xml:space="preserve"> regiono plėtros tarybos sprendimu Nr.</w:t>
      </w:r>
      <w:r>
        <w:rPr>
          <w:rFonts w:ascii="Arial" w:eastAsiaTheme="minorHAnsi" w:hAnsi="Arial" w:cs="Arial"/>
          <w:color w:val="000000"/>
          <w:kern w:val="0"/>
          <w:lang w:val="lt-LT" w:eastAsia="en-US"/>
          <w14:ligatures w14:val="none"/>
        </w:rPr>
        <w:t xml:space="preserve"> </w:t>
      </w:r>
      <w:r w:rsidRPr="009221CC">
        <w:rPr>
          <w:rFonts w:ascii="Arial" w:eastAsiaTheme="minorHAnsi" w:hAnsi="Arial" w:cs="Arial"/>
          <w:color w:val="000000"/>
          <w:kern w:val="0"/>
          <w:lang w:val="lt-LT" w:eastAsia="en-US"/>
          <w14:ligatures w14:val="none"/>
        </w:rPr>
        <w:t>K-55</w:t>
      </w:r>
      <w:r w:rsidR="006D5E38" w:rsidRPr="0020626A">
        <w:rPr>
          <w:rFonts w:ascii="Arial" w:eastAsiaTheme="minorHAnsi" w:hAnsi="Arial" w:cs="Arial"/>
          <w:color w:val="000000"/>
          <w:kern w:val="0"/>
          <w:lang w:val="lt-LT" w:eastAsia="en-US"/>
          <w14:ligatures w14:val="none"/>
        </w:rPr>
        <w:t xml:space="preserve">. </w:t>
      </w:r>
      <w:r w:rsidR="009C0976" w:rsidRPr="0020626A">
        <w:rPr>
          <w:rFonts w:ascii="Arial" w:eastAsiaTheme="minorHAnsi" w:hAnsi="Arial" w:cs="Arial"/>
          <w:color w:val="000000"/>
          <w:kern w:val="0"/>
          <w:lang w:val="lt-LT" w:eastAsia="en-US"/>
          <w14:ligatures w14:val="none"/>
        </w:rPr>
        <w:t xml:space="preserve">Planui buvo atliktas strateginis pasekmių aplinkai vertinimas (SPAV). </w:t>
      </w:r>
      <w:r w:rsidR="009C0976">
        <w:rPr>
          <w:rFonts w:ascii="Arial" w:eastAsiaTheme="minorHAnsi" w:hAnsi="Arial" w:cs="Arial"/>
          <w:color w:val="000000"/>
          <w:kern w:val="0"/>
          <w:lang w:val="lt-LT" w:eastAsia="en-US"/>
          <w14:ligatures w14:val="none"/>
        </w:rPr>
        <w:t>Plano organizatorius – UAB „</w:t>
      </w:r>
      <w:r>
        <w:rPr>
          <w:rFonts w:ascii="Arial" w:eastAsiaTheme="minorHAnsi" w:hAnsi="Arial" w:cs="Arial"/>
          <w:color w:val="000000"/>
          <w:kern w:val="0"/>
          <w:lang w:val="lt-LT" w:eastAsia="en-US"/>
          <w14:ligatures w14:val="none"/>
        </w:rPr>
        <w:t>Alytaus</w:t>
      </w:r>
      <w:r w:rsidR="009C0976">
        <w:rPr>
          <w:rFonts w:ascii="Arial" w:eastAsiaTheme="minorHAnsi" w:hAnsi="Arial" w:cs="Arial"/>
          <w:color w:val="000000"/>
          <w:kern w:val="0"/>
          <w:lang w:val="lt-LT" w:eastAsia="en-US"/>
          <w14:ligatures w14:val="none"/>
        </w:rPr>
        <w:t xml:space="preserve"> regiono atliekų tvarkymo centras“.</w:t>
      </w:r>
    </w:p>
    <w:p w14:paraId="0D9FFFFD" w14:textId="77777777" w:rsidR="004D7772" w:rsidRPr="0020626A" w:rsidRDefault="004D7772" w:rsidP="004D7772">
      <w:pPr>
        <w:jc w:val="both"/>
        <w:rPr>
          <w:rFonts w:ascii="Arial" w:eastAsiaTheme="minorHAnsi" w:hAnsi="Arial" w:cs="Arial"/>
          <w:b/>
          <w:bCs/>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Informacija, kaip į planą buvo integruoti aplinkos apsaugos klausimai</w:t>
      </w:r>
    </w:p>
    <w:p w14:paraId="4E2C566A" w14:textId="435D689D" w:rsidR="004D7772" w:rsidRPr="0020626A" w:rsidRDefault="004D7772" w:rsidP="004D7772">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Šis Planas – tai strateginis dokumentas, kuriuo siekiama nustatyti komunalinių atliekų tvarkymo sistemų organizavimo priemones, kurios užtikrintų aplinkosaugos, techninius, ekonominius ir higienos reikalavimus atitinkančią viešąją komunalinių atliekų tvarkymo paslaugą visiems regiono gyventojams. Plane numatytos priemonės yra būtinos Valstybiniame atliekų tvarkymo plane numatytų užduočių 20</w:t>
      </w:r>
      <w:r w:rsidR="001F5479" w:rsidRPr="0020626A">
        <w:rPr>
          <w:rFonts w:ascii="Arial" w:eastAsiaTheme="minorHAnsi" w:hAnsi="Arial" w:cs="Arial"/>
          <w:color w:val="000000"/>
          <w:kern w:val="0"/>
          <w:lang w:val="lt-LT" w:eastAsia="en-US"/>
          <w14:ligatures w14:val="none"/>
        </w:rPr>
        <w:t>21</w:t>
      </w:r>
      <w:r w:rsidRPr="0020626A">
        <w:rPr>
          <w:rFonts w:ascii="Arial" w:eastAsiaTheme="minorHAnsi" w:hAnsi="Arial" w:cs="Arial"/>
          <w:color w:val="000000"/>
          <w:kern w:val="0"/>
          <w:lang w:val="lt-LT" w:eastAsia="en-US"/>
          <w14:ligatures w14:val="none"/>
        </w:rPr>
        <w:t>-202</w:t>
      </w:r>
      <w:r w:rsidR="001F5479" w:rsidRPr="0020626A">
        <w:rPr>
          <w:rFonts w:ascii="Arial" w:eastAsiaTheme="minorHAnsi" w:hAnsi="Arial" w:cs="Arial"/>
          <w:color w:val="000000"/>
          <w:kern w:val="0"/>
          <w:lang w:val="lt-LT" w:eastAsia="en-US"/>
          <w14:ligatures w14:val="none"/>
        </w:rPr>
        <w:t>7</w:t>
      </w:r>
      <w:r w:rsidRPr="0020626A">
        <w:rPr>
          <w:rFonts w:ascii="Arial" w:eastAsiaTheme="minorHAnsi" w:hAnsi="Arial" w:cs="Arial"/>
          <w:color w:val="000000"/>
          <w:kern w:val="0"/>
          <w:lang w:val="lt-LT" w:eastAsia="en-US"/>
          <w14:ligatures w14:val="none"/>
        </w:rPr>
        <w:t xml:space="preserve"> m. periodui įgyvendinimui.</w:t>
      </w:r>
      <w:r w:rsidR="009C0976">
        <w:rPr>
          <w:rFonts w:ascii="Arial" w:eastAsiaTheme="minorHAnsi" w:hAnsi="Arial" w:cs="Arial"/>
          <w:color w:val="000000"/>
          <w:kern w:val="0"/>
          <w:lang w:val="lt-LT" w:eastAsia="en-US"/>
          <w14:ligatures w14:val="none"/>
        </w:rPr>
        <w:t xml:space="preserve"> </w:t>
      </w:r>
    </w:p>
    <w:p w14:paraId="58811805" w14:textId="77777777" w:rsidR="00A27391" w:rsidRPr="0020626A" w:rsidRDefault="00A27391" w:rsidP="00A27391">
      <w:pPr>
        <w:jc w:val="both"/>
        <w:rPr>
          <w:rFonts w:ascii="Arial" w:eastAsiaTheme="minorHAnsi" w:hAnsi="Arial" w:cs="Arial"/>
          <w:b/>
          <w:bCs/>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Informacija, kaip buvo atsižvelgta į SPAV ataskaitoje pateiktą informaciją</w:t>
      </w:r>
    </w:p>
    <w:p w14:paraId="6BA8C53A" w14:textId="77777777" w:rsidR="00940279" w:rsidRPr="0020626A" w:rsidRDefault="00940279" w:rsidP="00A27391">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SPAV ataskaitoje pateikti vertinimo rezultatai pagal poveikio reikšmingumą atskiriems aplinkos komponentams bei pasekmių tipą. Atlikus Plano tikslų, uždavinių ir priemonių vertinimą ir palyginimą su „nuline“ alternatyva, priimta išvada - Plano įgyvendinimas turės teigiamas pasekmes aplinkai.</w:t>
      </w:r>
    </w:p>
    <w:p w14:paraId="2BBD3F37" w14:textId="2FF1D5EE" w:rsidR="00A27391" w:rsidRPr="0020626A" w:rsidRDefault="00A27391" w:rsidP="00A27391">
      <w:pPr>
        <w:jc w:val="both"/>
        <w:rPr>
          <w:rFonts w:ascii="Arial" w:eastAsiaTheme="minorHAnsi" w:hAnsi="Arial" w:cs="Arial"/>
          <w:b/>
          <w:bCs/>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 xml:space="preserve">Motyvai, lėmę alternatyvos pasirinkimą </w:t>
      </w:r>
    </w:p>
    <w:p w14:paraId="26585D62" w14:textId="093B4845" w:rsidR="00EB6DA5" w:rsidRPr="0020626A" w:rsidRDefault="00EB6DA5" w:rsidP="00A27391">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 xml:space="preserve">Rengiant Planą buvo atlikta </w:t>
      </w:r>
      <w:r w:rsidR="00D47419">
        <w:rPr>
          <w:rFonts w:ascii="Arial" w:eastAsiaTheme="minorHAnsi" w:hAnsi="Arial" w:cs="Arial"/>
          <w:color w:val="000000"/>
          <w:kern w:val="0"/>
          <w:lang w:val="lt-LT" w:eastAsia="en-US"/>
          <w14:ligatures w14:val="none"/>
        </w:rPr>
        <w:t xml:space="preserve">Alytaus </w:t>
      </w:r>
      <w:r w:rsidRPr="0020626A">
        <w:rPr>
          <w:rFonts w:ascii="Arial" w:eastAsiaTheme="minorHAnsi" w:hAnsi="Arial" w:cs="Arial"/>
          <w:color w:val="000000"/>
          <w:kern w:val="0"/>
          <w:lang w:val="lt-LT" w:eastAsia="en-US"/>
          <w14:ligatures w14:val="none"/>
        </w:rPr>
        <w:t>regiono atliekų tvarkymo sistemos ir valdymo stiprybių, silpnybių, galimybių ir grėsmių analizė bei identifikuoti poreikiai. Plane analizuojamas tik vienas įgyvendinimo scenarijus, alternatyvūs požiūriai buvo nagrinėjami Plano rengimo darbo grupės.</w:t>
      </w:r>
    </w:p>
    <w:p w14:paraId="28B07518" w14:textId="77777777" w:rsidR="00A27391" w:rsidRPr="0020626A" w:rsidRDefault="00A27391" w:rsidP="00A27391">
      <w:pPr>
        <w:jc w:val="both"/>
        <w:rPr>
          <w:rFonts w:ascii="Arial" w:eastAsiaTheme="minorHAnsi" w:hAnsi="Arial" w:cs="Arial"/>
          <w:b/>
          <w:bCs/>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Informacija, kaip buvo atsižvelgta į SPAV subjektu išvadas, visuomenes pasiūlymus</w:t>
      </w:r>
    </w:p>
    <w:p w14:paraId="70B5B5CB" w14:textId="793A5DF7" w:rsidR="00B87068" w:rsidRPr="0020626A" w:rsidRDefault="00D47419" w:rsidP="00B87068">
      <w:pPr>
        <w:jc w:val="both"/>
        <w:rPr>
          <w:rFonts w:ascii="Arial" w:eastAsiaTheme="minorHAnsi" w:hAnsi="Arial" w:cs="Arial"/>
          <w:color w:val="000000"/>
          <w:kern w:val="0"/>
          <w:lang w:val="lt-LT" w:eastAsia="en-US"/>
          <w14:ligatures w14:val="none"/>
        </w:rPr>
      </w:pPr>
      <w:r>
        <w:rPr>
          <w:rFonts w:ascii="Arial" w:eastAsiaTheme="minorHAnsi" w:hAnsi="Arial" w:cs="Arial"/>
          <w:color w:val="000000"/>
          <w:kern w:val="0"/>
          <w:lang w:val="lt-LT" w:eastAsia="en-US"/>
          <w14:ligatures w14:val="none"/>
        </w:rPr>
        <w:t>Alytaus</w:t>
      </w:r>
      <w:r w:rsidR="00B87068" w:rsidRPr="0020626A">
        <w:rPr>
          <w:rFonts w:ascii="Arial" w:eastAsiaTheme="minorHAnsi" w:hAnsi="Arial" w:cs="Arial"/>
          <w:color w:val="000000"/>
          <w:kern w:val="0"/>
          <w:lang w:val="lt-LT" w:eastAsia="en-US"/>
          <w14:ligatures w14:val="none"/>
        </w:rPr>
        <w:t xml:space="preserve"> regiono atliekų tvarkymo 2021-2027 m planas yra valstybės lygmens planas, SPAV vertinimo subjektai</w:t>
      </w:r>
      <w:r w:rsidR="00D2639A" w:rsidRPr="0020626A">
        <w:rPr>
          <w:rFonts w:ascii="Arial" w:eastAsiaTheme="minorHAnsi" w:hAnsi="Arial" w:cs="Arial"/>
          <w:color w:val="000000"/>
          <w:kern w:val="0"/>
          <w:lang w:val="lt-LT" w:eastAsia="en-US"/>
          <w14:ligatures w14:val="none"/>
        </w:rPr>
        <w:t>, kurie pateikė išvadas SPAV apimties nustatymo dokumentui ir SPAV ataskaitai:</w:t>
      </w:r>
    </w:p>
    <w:p w14:paraId="060C21B7" w14:textId="77777777" w:rsidR="00B87068" w:rsidRPr="0020626A" w:rsidRDefault="00B87068" w:rsidP="00B87068">
      <w:pPr>
        <w:pStyle w:val="Sraopastraipa"/>
        <w:numPr>
          <w:ilvl w:val="0"/>
          <w:numId w:val="4"/>
        </w:num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Lietuvos Respublikos aplinkos ministerija (toliau – Aplinkos ministerija);</w:t>
      </w:r>
    </w:p>
    <w:p w14:paraId="1A760B6D" w14:textId="77777777" w:rsidR="00B87068" w:rsidRPr="0020626A" w:rsidRDefault="00B87068" w:rsidP="00B87068">
      <w:pPr>
        <w:pStyle w:val="Sraopastraipa"/>
        <w:numPr>
          <w:ilvl w:val="0"/>
          <w:numId w:val="4"/>
        </w:num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Lietuvos Respublikos sveikatos apsaugos ministerija (toliau – Sveikatos apsaugos ministerija);</w:t>
      </w:r>
    </w:p>
    <w:p w14:paraId="3DA112F0" w14:textId="77777777" w:rsidR="00B87068" w:rsidRPr="0020626A" w:rsidRDefault="00B87068" w:rsidP="00B87068">
      <w:pPr>
        <w:pStyle w:val="Sraopastraipa"/>
        <w:numPr>
          <w:ilvl w:val="0"/>
          <w:numId w:val="4"/>
        </w:num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Valstybinė saugomų teritorijų tarnyba;</w:t>
      </w:r>
    </w:p>
    <w:p w14:paraId="67605FD2" w14:textId="77777777" w:rsidR="00B87068" w:rsidRPr="0020626A" w:rsidRDefault="00B87068" w:rsidP="00B87068">
      <w:pPr>
        <w:pStyle w:val="Sraopastraipa"/>
        <w:numPr>
          <w:ilvl w:val="0"/>
          <w:numId w:val="4"/>
        </w:num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Lietuvos Respublikos kultūros ministerija (toliau – Kultūros ministerija).</w:t>
      </w:r>
    </w:p>
    <w:p w14:paraId="276279CC" w14:textId="1F39C102" w:rsidR="00D2639A" w:rsidRPr="0020626A" w:rsidRDefault="00973FBD" w:rsidP="00D2639A">
      <w:pPr>
        <w:jc w:val="both"/>
        <w:rPr>
          <w:rFonts w:ascii="Arial" w:eastAsiaTheme="minorHAnsi" w:hAnsi="Arial" w:cs="Arial"/>
          <w:color w:val="000000"/>
          <w:kern w:val="0"/>
          <w:lang w:val="lt-LT" w:eastAsia="en-US"/>
          <w14:ligatures w14:val="none"/>
        </w:rPr>
      </w:pPr>
      <w:r>
        <w:rPr>
          <w:rFonts w:ascii="Arial" w:eastAsiaTheme="minorHAnsi" w:hAnsi="Arial" w:cs="Arial"/>
          <w:color w:val="000000"/>
          <w:kern w:val="0"/>
          <w:lang w:val="lt-LT" w:eastAsia="en-US"/>
          <w14:ligatures w14:val="none"/>
        </w:rPr>
        <w:t>2023-</w:t>
      </w:r>
      <w:r w:rsidR="00542915">
        <w:rPr>
          <w:rFonts w:ascii="Arial" w:eastAsiaTheme="minorHAnsi" w:hAnsi="Arial" w:cs="Arial"/>
          <w:color w:val="000000"/>
          <w:kern w:val="0"/>
          <w:lang w:val="lt-LT" w:eastAsia="en-US"/>
          <w14:ligatures w14:val="none"/>
        </w:rPr>
        <w:t>10-11</w:t>
      </w:r>
      <w:r>
        <w:rPr>
          <w:rFonts w:ascii="Arial" w:eastAsiaTheme="minorHAnsi" w:hAnsi="Arial" w:cs="Arial"/>
          <w:color w:val="000000"/>
          <w:kern w:val="0"/>
          <w:lang w:val="lt-LT" w:eastAsia="en-US"/>
          <w14:ligatures w14:val="none"/>
        </w:rPr>
        <w:t xml:space="preserve"> </w:t>
      </w:r>
      <w:r w:rsidR="00696187" w:rsidRPr="0020626A">
        <w:rPr>
          <w:rFonts w:ascii="Arial" w:eastAsiaTheme="minorHAnsi" w:hAnsi="Arial" w:cs="Arial"/>
          <w:color w:val="000000"/>
          <w:kern w:val="0"/>
          <w:lang w:val="lt-LT" w:eastAsia="en-US"/>
          <w14:ligatures w14:val="none"/>
        </w:rPr>
        <w:t>pare</w:t>
      </w:r>
      <w:r w:rsidR="008D6816" w:rsidRPr="0020626A">
        <w:rPr>
          <w:rFonts w:ascii="Arial" w:eastAsiaTheme="minorHAnsi" w:hAnsi="Arial" w:cs="Arial"/>
          <w:color w:val="000000"/>
          <w:kern w:val="0"/>
          <w:lang w:val="lt-LT" w:eastAsia="en-US"/>
          <w14:ligatures w14:val="none"/>
        </w:rPr>
        <w:t>ngta subjektų išvadų vertinimo pažyma</w:t>
      </w:r>
      <w:r w:rsidR="00865A4D">
        <w:rPr>
          <w:rFonts w:ascii="Arial" w:eastAsiaTheme="minorHAnsi" w:hAnsi="Arial" w:cs="Arial"/>
          <w:color w:val="000000"/>
          <w:kern w:val="0"/>
          <w:lang w:val="lt-LT" w:eastAsia="en-US"/>
          <w14:ligatures w14:val="none"/>
        </w:rPr>
        <w:t xml:space="preserve"> (</w:t>
      </w:r>
      <w:r w:rsidR="008D6816" w:rsidRPr="0020626A">
        <w:rPr>
          <w:rFonts w:ascii="Arial" w:eastAsiaTheme="minorHAnsi" w:hAnsi="Arial" w:cs="Arial"/>
          <w:color w:val="000000"/>
          <w:kern w:val="0"/>
          <w:lang w:val="lt-LT" w:eastAsia="en-US"/>
          <w14:ligatures w14:val="none"/>
        </w:rPr>
        <w:t xml:space="preserve">SPAV ataskaitos </w:t>
      </w:r>
      <w:r w:rsidR="00D2639A" w:rsidRPr="0020626A">
        <w:rPr>
          <w:rFonts w:ascii="Arial" w:eastAsiaTheme="minorHAnsi" w:hAnsi="Arial" w:cs="Arial"/>
          <w:color w:val="000000"/>
          <w:kern w:val="0"/>
          <w:lang w:val="lt-LT" w:eastAsia="en-US"/>
          <w14:ligatures w14:val="none"/>
        </w:rPr>
        <w:t>1 pried</w:t>
      </w:r>
      <w:r w:rsidR="00865A4D">
        <w:rPr>
          <w:rFonts w:ascii="Arial" w:eastAsiaTheme="minorHAnsi" w:hAnsi="Arial" w:cs="Arial"/>
          <w:color w:val="000000"/>
          <w:kern w:val="0"/>
          <w:lang w:val="lt-LT" w:eastAsia="en-US"/>
          <w14:ligatures w14:val="none"/>
        </w:rPr>
        <w:t>as), kuri pa</w:t>
      </w:r>
      <w:r w:rsidR="00F46E3E">
        <w:rPr>
          <w:rFonts w:ascii="Arial" w:eastAsiaTheme="minorHAnsi" w:hAnsi="Arial" w:cs="Arial"/>
          <w:color w:val="000000"/>
          <w:kern w:val="0"/>
          <w:lang w:val="lt-LT" w:eastAsia="en-US"/>
          <w14:ligatures w14:val="none"/>
        </w:rPr>
        <w:t>sirašyta Plano organizatoriaus ir raštu pateikta subjektams susipažinti.</w:t>
      </w:r>
    </w:p>
    <w:p w14:paraId="7748E4EF" w14:textId="789E1428" w:rsidR="00B87068" w:rsidRPr="0020626A" w:rsidRDefault="00B87068" w:rsidP="00B87068">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 xml:space="preserve">Visuomenė </w:t>
      </w:r>
      <w:r w:rsidR="00E108B7" w:rsidRPr="0020626A">
        <w:rPr>
          <w:rFonts w:ascii="Arial" w:eastAsiaTheme="minorHAnsi" w:hAnsi="Arial" w:cs="Arial"/>
          <w:color w:val="000000"/>
          <w:kern w:val="0"/>
          <w:lang w:val="lt-LT" w:eastAsia="en-US"/>
          <w14:ligatures w14:val="none"/>
        </w:rPr>
        <w:t>buvo informuota apie rengiamą SPAV ir Planą</w:t>
      </w:r>
      <w:r w:rsidRPr="0020626A">
        <w:rPr>
          <w:rFonts w:ascii="Arial" w:eastAsiaTheme="minorHAnsi" w:hAnsi="Arial" w:cs="Arial"/>
          <w:color w:val="000000"/>
          <w:kern w:val="0"/>
          <w:lang w:val="lt-LT" w:eastAsia="en-US"/>
          <w14:ligatures w14:val="none"/>
        </w:rPr>
        <w:t xml:space="preserve"> vadovaujantis Lietuvos Respublikos aplinkos ministro 2004 m. rugpjūčio 27 d. įsakymu Nr. D1-455 „Dėl Visuomenės dalyvavimo planų ir programų strateginio pasekmių aplinkai vertinimo procedūrose ir vertinimo subjektų, ES valstybių narių ir kitų užsienio valstybių informavimo tvarkos aprašo patvirtinimo“ patvirtintu Visuomenės dalyvavimo planų ir programų strateginio pasekmių aplinkai vertinimo procedūrose ir vertinimo subjektų, ES valstybių narių ir kitų užsienio valstybių informavimo tvarkos aprašu.</w:t>
      </w:r>
    </w:p>
    <w:p w14:paraId="2DE51F80" w14:textId="02D0A6FE" w:rsidR="00681FA3" w:rsidRPr="0020626A" w:rsidRDefault="007F3F5A" w:rsidP="00A27391">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lastRenderedPageBreak/>
        <w:t>Informacija apie viešą supažindinimą su Planu ir SPAV ataskaita paskelbta:</w:t>
      </w:r>
    </w:p>
    <w:tbl>
      <w:tblPr>
        <w:tblStyle w:val="Lentelstinklelis"/>
        <w:tblW w:w="8998" w:type="dxa"/>
        <w:tblLook w:val="04A0" w:firstRow="1" w:lastRow="0" w:firstColumn="1" w:lastColumn="0" w:noHBand="0" w:noVBand="1"/>
      </w:tblPr>
      <w:tblGrid>
        <w:gridCol w:w="562"/>
        <w:gridCol w:w="6946"/>
        <w:gridCol w:w="1490"/>
      </w:tblGrid>
      <w:tr w:rsidR="00340816" w:rsidRPr="005C3B05" w14:paraId="647E8A86" w14:textId="77777777" w:rsidTr="00AC2F9A">
        <w:tc>
          <w:tcPr>
            <w:tcW w:w="562" w:type="dxa"/>
          </w:tcPr>
          <w:p w14:paraId="0C550940"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Nr.</w:t>
            </w:r>
          </w:p>
        </w:tc>
        <w:tc>
          <w:tcPr>
            <w:tcW w:w="6946" w:type="dxa"/>
          </w:tcPr>
          <w:p w14:paraId="3550920D"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 xml:space="preserve">Skelbimo vieta: </w:t>
            </w:r>
          </w:p>
        </w:tc>
        <w:tc>
          <w:tcPr>
            <w:tcW w:w="1490" w:type="dxa"/>
          </w:tcPr>
          <w:p w14:paraId="6EFFC03B"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Data</w:t>
            </w:r>
          </w:p>
        </w:tc>
      </w:tr>
      <w:tr w:rsidR="00340816" w:rsidRPr="005C3B05" w14:paraId="209D7633" w14:textId="77777777" w:rsidTr="00AC2F9A">
        <w:tc>
          <w:tcPr>
            <w:tcW w:w="562" w:type="dxa"/>
          </w:tcPr>
          <w:p w14:paraId="65951084"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1.</w:t>
            </w:r>
          </w:p>
        </w:tc>
        <w:tc>
          <w:tcPr>
            <w:tcW w:w="6946" w:type="dxa"/>
          </w:tcPr>
          <w:p w14:paraId="22A78FFE"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Nacionaliniame laikraštyje „Vakaro žinios“</w:t>
            </w:r>
          </w:p>
        </w:tc>
        <w:tc>
          <w:tcPr>
            <w:tcW w:w="1490" w:type="dxa"/>
          </w:tcPr>
          <w:p w14:paraId="114BB64E"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3EC39351" w14:textId="77777777" w:rsidTr="00AC2F9A">
        <w:tc>
          <w:tcPr>
            <w:tcW w:w="562" w:type="dxa"/>
          </w:tcPr>
          <w:p w14:paraId="53CC4E47"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w:t>
            </w:r>
          </w:p>
        </w:tc>
        <w:tc>
          <w:tcPr>
            <w:tcW w:w="6946" w:type="dxa"/>
          </w:tcPr>
          <w:p w14:paraId="5FE3EC22"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 xml:space="preserve">Plano organizatoriaus internetiniame puslapyje </w:t>
            </w:r>
          </w:p>
        </w:tc>
        <w:tc>
          <w:tcPr>
            <w:tcW w:w="1490" w:type="dxa"/>
          </w:tcPr>
          <w:p w14:paraId="45E6B53C"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2023-09-04</w:t>
            </w:r>
          </w:p>
        </w:tc>
      </w:tr>
      <w:tr w:rsidR="00340816" w:rsidRPr="005C3B05" w14:paraId="67B78550" w14:textId="77777777" w:rsidTr="00AC2F9A">
        <w:tc>
          <w:tcPr>
            <w:tcW w:w="562" w:type="dxa"/>
          </w:tcPr>
          <w:p w14:paraId="6FF76011"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3.</w:t>
            </w:r>
          </w:p>
        </w:tc>
        <w:tc>
          <w:tcPr>
            <w:tcW w:w="6946" w:type="dxa"/>
          </w:tcPr>
          <w:p w14:paraId="002D5D9F"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Druskininkų savivaldybės puslapyje</w:t>
            </w:r>
          </w:p>
        </w:tc>
        <w:tc>
          <w:tcPr>
            <w:tcW w:w="1490" w:type="dxa"/>
          </w:tcPr>
          <w:p w14:paraId="676D5089"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05C73C0A" w14:textId="77777777" w:rsidTr="00AC2F9A">
        <w:tc>
          <w:tcPr>
            <w:tcW w:w="562" w:type="dxa"/>
          </w:tcPr>
          <w:p w14:paraId="06824BB9"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4.</w:t>
            </w:r>
          </w:p>
        </w:tc>
        <w:tc>
          <w:tcPr>
            <w:tcW w:w="6946" w:type="dxa"/>
          </w:tcPr>
          <w:p w14:paraId="4F9F9CC5"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 xml:space="preserve">Varėnos r. savivaldybės internetiniame puslapyje </w:t>
            </w:r>
          </w:p>
        </w:tc>
        <w:tc>
          <w:tcPr>
            <w:tcW w:w="1490" w:type="dxa"/>
          </w:tcPr>
          <w:p w14:paraId="394E23FC"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26B29DAD" w14:textId="77777777" w:rsidTr="00AC2F9A">
        <w:tc>
          <w:tcPr>
            <w:tcW w:w="562" w:type="dxa"/>
          </w:tcPr>
          <w:p w14:paraId="4756F5AB"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5.</w:t>
            </w:r>
          </w:p>
        </w:tc>
        <w:tc>
          <w:tcPr>
            <w:tcW w:w="6946" w:type="dxa"/>
          </w:tcPr>
          <w:p w14:paraId="6E1B7723"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Birštono savivaldybės internetiniame puslapyje</w:t>
            </w:r>
          </w:p>
        </w:tc>
        <w:tc>
          <w:tcPr>
            <w:tcW w:w="1490" w:type="dxa"/>
          </w:tcPr>
          <w:p w14:paraId="2EB667A3"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2BB679C3" w14:textId="77777777" w:rsidTr="00AC2F9A">
        <w:tc>
          <w:tcPr>
            <w:tcW w:w="562" w:type="dxa"/>
          </w:tcPr>
          <w:p w14:paraId="2D57B7F0"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6.</w:t>
            </w:r>
          </w:p>
        </w:tc>
        <w:tc>
          <w:tcPr>
            <w:tcW w:w="6946" w:type="dxa"/>
          </w:tcPr>
          <w:p w14:paraId="19382D9C"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 xml:space="preserve">Alytaus r. savivaldybės internetiniame puslapyje </w:t>
            </w:r>
          </w:p>
        </w:tc>
        <w:tc>
          <w:tcPr>
            <w:tcW w:w="1490" w:type="dxa"/>
          </w:tcPr>
          <w:p w14:paraId="1B3A6EB9"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40D26638" w14:textId="77777777" w:rsidTr="00AC2F9A">
        <w:tc>
          <w:tcPr>
            <w:tcW w:w="562" w:type="dxa"/>
          </w:tcPr>
          <w:p w14:paraId="1269FD6B"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7.</w:t>
            </w:r>
          </w:p>
        </w:tc>
        <w:tc>
          <w:tcPr>
            <w:tcW w:w="6946" w:type="dxa"/>
          </w:tcPr>
          <w:p w14:paraId="072BA19B"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Alytaus m. savivaldybės internetiniame puslapyje</w:t>
            </w:r>
          </w:p>
        </w:tc>
        <w:tc>
          <w:tcPr>
            <w:tcW w:w="1490" w:type="dxa"/>
          </w:tcPr>
          <w:p w14:paraId="2FE35F79"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1E9DF637" w14:textId="77777777" w:rsidTr="00AC2F9A">
        <w:tc>
          <w:tcPr>
            <w:tcW w:w="562" w:type="dxa"/>
          </w:tcPr>
          <w:p w14:paraId="62A85433"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8.</w:t>
            </w:r>
          </w:p>
        </w:tc>
        <w:tc>
          <w:tcPr>
            <w:tcW w:w="6946" w:type="dxa"/>
          </w:tcPr>
          <w:p w14:paraId="6EB30AE8"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Lazdijų r. savivaldybės internetiniame puslapyje</w:t>
            </w:r>
          </w:p>
        </w:tc>
        <w:tc>
          <w:tcPr>
            <w:tcW w:w="1490" w:type="dxa"/>
          </w:tcPr>
          <w:p w14:paraId="65B65313"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r w:rsidR="00340816" w:rsidRPr="005C3B05" w14:paraId="5F4E3508" w14:textId="77777777" w:rsidTr="00AC2F9A">
        <w:tc>
          <w:tcPr>
            <w:tcW w:w="562" w:type="dxa"/>
          </w:tcPr>
          <w:p w14:paraId="2CFB6E8E"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9.</w:t>
            </w:r>
          </w:p>
        </w:tc>
        <w:tc>
          <w:tcPr>
            <w:tcW w:w="6946" w:type="dxa"/>
          </w:tcPr>
          <w:p w14:paraId="44CCF781"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Prienų r. savivaldybės internetiniame puslapyje</w:t>
            </w:r>
          </w:p>
        </w:tc>
        <w:tc>
          <w:tcPr>
            <w:tcW w:w="1490" w:type="dxa"/>
          </w:tcPr>
          <w:p w14:paraId="063FF95E" w14:textId="77777777" w:rsidR="00340816" w:rsidRPr="005C3B05" w:rsidRDefault="00340816" w:rsidP="00340816">
            <w:pPr>
              <w:spacing w:after="160" w:line="259" w:lineRule="auto"/>
              <w:jc w:val="both"/>
              <w:rPr>
                <w:rFonts w:ascii="Arial" w:hAnsi="Arial" w:cs="Arial"/>
                <w:color w:val="000000"/>
                <w:sz w:val="18"/>
                <w:szCs w:val="18"/>
                <w:lang w:val="lt-LT"/>
              </w:rPr>
            </w:pPr>
            <w:r w:rsidRPr="005C3B05">
              <w:rPr>
                <w:rFonts w:ascii="Arial" w:hAnsi="Arial" w:cs="Arial"/>
                <w:color w:val="000000"/>
                <w:sz w:val="18"/>
                <w:szCs w:val="18"/>
                <w:lang w:val="lt-LT"/>
              </w:rPr>
              <w:t>2023-09-05</w:t>
            </w:r>
          </w:p>
        </w:tc>
      </w:tr>
    </w:tbl>
    <w:p w14:paraId="4B82A453" w14:textId="77777777" w:rsidR="00AD35BC" w:rsidRPr="0020626A" w:rsidRDefault="00AD35BC" w:rsidP="00A27391">
      <w:pPr>
        <w:jc w:val="both"/>
        <w:rPr>
          <w:rFonts w:ascii="Arial" w:eastAsiaTheme="minorHAnsi" w:hAnsi="Arial" w:cs="Arial"/>
          <w:color w:val="000000"/>
          <w:kern w:val="0"/>
          <w:lang w:val="lt-LT" w:eastAsia="en-US"/>
          <w14:ligatures w14:val="none"/>
        </w:rPr>
      </w:pPr>
    </w:p>
    <w:p w14:paraId="0349DB6D" w14:textId="61A042C8" w:rsidR="00A27391" w:rsidRPr="0020626A" w:rsidRDefault="00A27391" w:rsidP="00A27391">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 xml:space="preserve">Visuomenei buvo suteikta galimybe susipažinti su SPAV ataskaita ir Plano projektu Plano rengimo organizatoriaus UAB </w:t>
      </w:r>
      <w:r w:rsidR="00D22EBA">
        <w:rPr>
          <w:rFonts w:ascii="Arial" w:eastAsiaTheme="minorHAnsi" w:hAnsi="Arial" w:cs="Arial"/>
          <w:color w:val="000000"/>
          <w:kern w:val="0"/>
          <w:lang w:val="lt-LT" w:eastAsia="en-US"/>
          <w14:ligatures w14:val="none"/>
        </w:rPr>
        <w:t>„Alytaus</w:t>
      </w:r>
      <w:r w:rsidRPr="0020626A">
        <w:rPr>
          <w:rFonts w:ascii="Arial" w:eastAsiaTheme="minorHAnsi" w:hAnsi="Arial" w:cs="Arial"/>
          <w:color w:val="000000"/>
          <w:kern w:val="0"/>
          <w:lang w:val="lt-LT" w:eastAsia="en-US"/>
          <w14:ligatures w14:val="none"/>
        </w:rPr>
        <w:t xml:space="preserve"> regiono atlieku tvarkymo centras</w:t>
      </w:r>
      <w:r w:rsidR="00D22EBA">
        <w:rPr>
          <w:rFonts w:ascii="Arial" w:eastAsiaTheme="minorHAnsi" w:hAnsi="Arial" w:cs="Arial"/>
          <w:color w:val="000000"/>
          <w:kern w:val="0"/>
          <w:lang w:val="lt-LT" w:eastAsia="en-US"/>
          <w14:ligatures w14:val="none"/>
        </w:rPr>
        <w:t>“</w:t>
      </w:r>
      <w:r w:rsidRPr="0020626A">
        <w:rPr>
          <w:rFonts w:ascii="Arial" w:eastAsiaTheme="minorHAnsi" w:hAnsi="Arial" w:cs="Arial"/>
          <w:color w:val="000000"/>
          <w:kern w:val="0"/>
          <w:lang w:val="lt-LT" w:eastAsia="en-US"/>
          <w14:ligatures w14:val="none"/>
        </w:rPr>
        <w:t xml:space="preserve"> buveinėje</w:t>
      </w:r>
      <w:r w:rsidR="00790288">
        <w:rPr>
          <w:rFonts w:ascii="Arial" w:eastAsiaTheme="minorHAnsi" w:hAnsi="Arial" w:cs="Arial"/>
          <w:color w:val="000000"/>
          <w:kern w:val="0"/>
          <w:lang w:val="lt-LT" w:eastAsia="en-US"/>
          <w14:ligatures w14:val="none"/>
        </w:rPr>
        <w:t xml:space="preserve"> ir interneto svetainėje</w:t>
      </w:r>
      <w:r w:rsidR="00733521">
        <w:rPr>
          <w:rFonts w:ascii="Arial" w:eastAsiaTheme="minorHAnsi" w:hAnsi="Arial" w:cs="Arial"/>
          <w:color w:val="000000"/>
          <w:kern w:val="0"/>
          <w:lang w:val="lt-LT" w:eastAsia="en-US"/>
          <w14:ligatures w14:val="none"/>
        </w:rPr>
        <w:t xml:space="preserve"> www.aratc.lt</w:t>
      </w:r>
      <w:r w:rsidRPr="0020626A">
        <w:rPr>
          <w:rFonts w:ascii="Arial" w:eastAsiaTheme="minorHAnsi" w:hAnsi="Arial" w:cs="Arial"/>
          <w:color w:val="000000"/>
          <w:kern w:val="0"/>
          <w:lang w:val="lt-LT" w:eastAsia="en-US"/>
          <w14:ligatures w14:val="none"/>
        </w:rPr>
        <w:t>. Visuomenes pastabų ir pasiūlymų nebuvo gauta.</w:t>
      </w:r>
    </w:p>
    <w:p w14:paraId="64F829BD" w14:textId="617420CC" w:rsidR="00FF508E" w:rsidRPr="0020626A" w:rsidRDefault="00A27391" w:rsidP="00FF508E">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 xml:space="preserve">Viešas supažindinimas su SPAV ataskaita ir Plano projektu įvyko </w:t>
      </w:r>
      <w:r w:rsidR="00CD4FB2" w:rsidRPr="0020626A">
        <w:rPr>
          <w:rFonts w:ascii="Arial" w:eastAsiaTheme="minorHAnsi" w:hAnsi="Arial" w:cs="Arial"/>
          <w:color w:val="000000"/>
          <w:kern w:val="0"/>
          <w:lang w:val="lt-LT" w:eastAsia="en-US"/>
          <w14:ligatures w14:val="none"/>
        </w:rPr>
        <w:t>2023-</w:t>
      </w:r>
      <w:r w:rsidR="00733521">
        <w:rPr>
          <w:rFonts w:ascii="Arial" w:eastAsiaTheme="minorHAnsi" w:hAnsi="Arial" w:cs="Arial"/>
          <w:color w:val="000000"/>
          <w:kern w:val="0"/>
          <w:lang w:val="lt-LT" w:eastAsia="en-US"/>
          <w14:ligatures w14:val="none"/>
        </w:rPr>
        <w:t>10</w:t>
      </w:r>
      <w:r w:rsidR="00CD4FB2" w:rsidRPr="0020626A">
        <w:rPr>
          <w:rFonts w:ascii="Arial" w:eastAsiaTheme="minorHAnsi" w:hAnsi="Arial" w:cs="Arial"/>
          <w:color w:val="000000"/>
          <w:kern w:val="0"/>
          <w:lang w:val="lt-LT" w:eastAsia="en-US"/>
          <w14:ligatures w14:val="none"/>
        </w:rPr>
        <w:t>-</w:t>
      </w:r>
      <w:r w:rsidR="00733521">
        <w:rPr>
          <w:rFonts w:ascii="Arial" w:eastAsiaTheme="minorHAnsi" w:hAnsi="Arial" w:cs="Arial"/>
          <w:color w:val="000000"/>
          <w:kern w:val="0"/>
          <w:lang w:val="lt-LT" w:eastAsia="en-US"/>
          <w14:ligatures w14:val="none"/>
        </w:rPr>
        <w:t>04</w:t>
      </w:r>
      <w:r w:rsidR="00CD4FB2" w:rsidRPr="0020626A">
        <w:rPr>
          <w:rFonts w:ascii="Arial" w:eastAsiaTheme="minorHAnsi" w:hAnsi="Arial" w:cs="Arial"/>
          <w:color w:val="000000"/>
          <w:kern w:val="0"/>
          <w:lang w:val="lt-LT" w:eastAsia="en-US"/>
          <w14:ligatures w14:val="none"/>
        </w:rPr>
        <w:t>, 17 val.</w:t>
      </w:r>
      <w:r w:rsidR="00F74147" w:rsidRPr="0020626A">
        <w:rPr>
          <w:rFonts w:ascii="Arial" w:eastAsiaTheme="minorHAnsi" w:hAnsi="Arial" w:cs="Arial"/>
          <w:color w:val="000000"/>
          <w:kern w:val="0"/>
          <w:lang w:val="lt-LT" w:eastAsia="en-US"/>
          <w14:ligatures w14:val="none"/>
        </w:rPr>
        <w:t xml:space="preserve"> </w:t>
      </w:r>
      <w:r w:rsidR="000F3C77" w:rsidRPr="000F3C77">
        <w:rPr>
          <w:rFonts w:ascii="Arial" w:eastAsiaTheme="minorHAnsi" w:hAnsi="Arial" w:cs="Arial"/>
          <w:color w:val="000000"/>
          <w:kern w:val="0"/>
          <w:lang w:val="lt-LT" w:eastAsia="en-US"/>
          <w14:ligatures w14:val="none"/>
        </w:rPr>
        <w:t xml:space="preserve">UAB </w:t>
      </w:r>
      <w:proofErr w:type="spellStart"/>
      <w:r w:rsidR="000F3C77" w:rsidRPr="000F3C77">
        <w:rPr>
          <w:rFonts w:ascii="Arial" w:eastAsiaTheme="minorHAnsi" w:hAnsi="Arial" w:cs="Arial"/>
          <w:color w:val="000000"/>
          <w:kern w:val="0"/>
          <w:lang w:val="lt-LT" w:eastAsia="en-US"/>
          <w14:ligatures w14:val="none"/>
        </w:rPr>
        <w:t>Alytaus</w:t>
      </w:r>
      <w:proofErr w:type="spellEnd"/>
      <w:r w:rsidR="000F3C77" w:rsidRPr="000F3C77">
        <w:rPr>
          <w:rFonts w:ascii="Arial" w:eastAsiaTheme="minorHAnsi" w:hAnsi="Arial" w:cs="Arial"/>
          <w:color w:val="000000"/>
          <w:kern w:val="0"/>
          <w:lang w:val="lt-LT" w:eastAsia="en-US"/>
          <w14:ligatures w14:val="none"/>
        </w:rPr>
        <w:t xml:space="preserve"> </w:t>
      </w:r>
      <w:proofErr w:type="spellStart"/>
      <w:r w:rsidR="000F3C77" w:rsidRPr="000F3C77">
        <w:rPr>
          <w:rFonts w:ascii="Arial" w:eastAsiaTheme="minorHAnsi" w:hAnsi="Arial" w:cs="Arial"/>
          <w:color w:val="000000"/>
          <w:kern w:val="0"/>
          <w:lang w:val="lt-LT" w:eastAsia="en-US"/>
          <w14:ligatures w14:val="none"/>
        </w:rPr>
        <w:t>regioninis</w:t>
      </w:r>
      <w:proofErr w:type="spellEnd"/>
      <w:r w:rsidR="000F3C77" w:rsidRPr="000F3C77">
        <w:rPr>
          <w:rFonts w:ascii="Arial" w:eastAsiaTheme="minorHAnsi" w:hAnsi="Arial" w:cs="Arial"/>
          <w:color w:val="000000"/>
          <w:kern w:val="0"/>
          <w:lang w:val="lt-LT" w:eastAsia="en-US"/>
          <w14:ligatures w14:val="none"/>
        </w:rPr>
        <w:t xml:space="preserve"> </w:t>
      </w:r>
      <w:proofErr w:type="spellStart"/>
      <w:r w:rsidR="000F3C77" w:rsidRPr="000F3C77">
        <w:rPr>
          <w:rFonts w:ascii="Arial" w:eastAsiaTheme="minorHAnsi" w:hAnsi="Arial" w:cs="Arial"/>
          <w:color w:val="000000"/>
          <w:kern w:val="0"/>
          <w:lang w:val="lt-LT" w:eastAsia="en-US"/>
          <w14:ligatures w14:val="none"/>
        </w:rPr>
        <w:t>atliekų</w:t>
      </w:r>
      <w:proofErr w:type="spellEnd"/>
      <w:r w:rsidR="000F3C77" w:rsidRPr="000F3C77">
        <w:rPr>
          <w:rFonts w:ascii="Arial" w:eastAsiaTheme="minorHAnsi" w:hAnsi="Arial" w:cs="Arial"/>
          <w:color w:val="000000"/>
          <w:kern w:val="0"/>
          <w:lang w:val="lt-LT" w:eastAsia="en-US"/>
          <w14:ligatures w14:val="none"/>
        </w:rPr>
        <w:t xml:space="preserve"> </w:t>
      </w:r>
      <w:proofErr w:type="spellStart"/>
      <w:r w:rsidR="000F3C77" w:rsidRPr="000F3C77">
        <w:rPr>
          <w:rFonts w:ascii="Arial" w:eastAsiaTheme="minorHAnsi" w:hAnsi="Arial" w:cs="Arial"/>
          <w:color w:val="000000"/>
          <w:kern w:val="0"/>
          <w:lang w:val="lt-LT" w:eastAsia="en-US"/>
          <w14:ligatures w14:val="none"/>
        </w:rPr>
        <w:t>tvarkymo</w:t>
      </w:r>
      <w:proofErr w:type="spellEnd"/>
      <w:r w:rsidR="000F3C77" w:rsidRPr="000F3C77">
        <w:rPr>
          <w:rFonts w:ascii="Arial" w:eastAsiaTheme="minorHAnsi" w:hAnsi="Arial" w:cs="Arial"/>
          <w:color w:val="000000"/>
          <w:kern w:val="0"/>
          <w:lang w:val="lt-LT" w:eastAsia="en-US"/>
          <w14:ligatures w14:val="none"/>
        </w:rPr>
        <w:t xml:space="preserve"> centras </w:t>
      </w:r>
      <w:proofErr w:type="spellStart"/>
      <w:r w:rsidR="000F3C77" w:rsidRPr="000F3C77">
        <w:rPr>
          <w:rFonts w:ascii="Arial" w:eastAsiaTheme="minorHAnsi" w:hAnsi="Arial" w:cs="Arial"/>
          <w:color w:val="000000"/>
          <w:kern w:val="0"/>
          <w:lang w:val="lt-LT" w:eastAsia="en-US"/>
          <w14:ligatures w14:val="none"/>
        </w:rPr>
        <w:t>buveinėje</w:t>
      </w:r>
      <w:proofErr w:type="spellEnd"/>
      <w:r w:rsidR="000F3C77" w:rsidRPr="000F3C77">
        <w:rPr>
          <w:rFonts w:ascii="Arial" w:eastAsiaTheme="minorHAnsi" w:hAnsi="Arial" w:cs="Arial"/>
          <w:color w:val="000000"/>
          <w:kern w:val="0"/>
          <w:lang w:val="lt-LT" w:eastAsia="en-US"/>
          <w14:ligatures w14:val="none"/>
        </w:rPr>
        <w:t xml:space="preserve"> </w:t>
      </w:r>
      <w:r w:rsidR="000F3C77" w:rsidRPr="000F3C77">
        <w:rPr>
          <w:rFonts w:ascii="Arial" w:eastAsiaTheme="minorHAnsi" w:hAnsi="Arial" w:cs="Arial"/>
          <w:color w:val="000000"/>
          <w:kern w:val="0"/>
          <w:lang w:val="lt-LT" w:eastAsia="en-US"/>
          <w14:ligatures w14:val="none"/>
        </w:rPr>
        <w:t>Vilniaus g. 31</w:t>
      </w:r>
      <w:r w:rsidR="000F3C77">
        <w:rPr>
          <w:rFonts w:ascii="Arial" w:eastAsiaTheme="minorHAnsi" w:hAnsi="Arial" w:cs="Arial"/>
          <w:color w:val="000000"/>
          <w:kern w:val="0"/>
          <w:lang w:val="lt-LT" w:eastAsia="en-US"/>
          <w14:ligatures w14:val="none"/>
        </w:rPr>
        <w:t xml:space="preserve">, </w:t>
      </w:r>
      <w:r w:rsidR="000F3C77" w:rsidRPr="000F3C77">
        <w:rPr>
          <w:rFonts w:ascii="Arial" w:eastAsiaTheme="minorHAnsi" w:hAnsi="Arial" w:cs="Arial"/>
          <w:color w:val="000000"/>
          <w:kern w:val="0"/>
          <w:lang w:val="lt-LT" w:eastAsia="en-US"/>
          <w14:ligatures w14:val="none"/>
        </w:rPr>
        <w:t>Alytus</w:t>
      </w:r>
      <w:r w:rsidR="000F3C77">
        <w:rPr>
          <w:rFonts w:ascii="Arial" w:eastAsiaTheme="minorHAnsi" w:hAnsi="Arial" w:cs="Arial"/>
          <w:color w:val="000000"/>
          <w:kern w:val="0"/>
          <w:lang w:val="lt-LT" w:eastAsia="en-US"/>
          <w14:ligatures w14:val="none"/>
        </w:rPr>
        <w:t>.</w:t>
      </w:r>
      <w:r w:rsidR="000F3C77" w:rsidRPr="0020626A">
        <w:rPr>
          <w:rFonts w:ascii="Arial" w:eastAsiaTheme="minorHAnsi" w:hAnsi="Arial" w:cs="Arial"/>
          <w:color w:val="000000"/>
          <w:kern w:val="0"/>
          <w:lang w:val="lt-LT" w:eastAsia="en-US"/>
          <w14:ligatures w14:val="none"/>
        </w:rPr>
        <w:t xml:space="preserve"> </w:t>
      </w:r>
      <w:r w:rsidR="00FF508E" w:rsidRPr="0020626A">
        <w:rPr>
          <w:rFonts w:ascii="Arial" w:eastAsiaTheme="minorHAnsi" w:hAnsi="Arial" w:cs="Arial"/>
          <w:color w:val="000000"/>
          <w:kern w:val="0"/>
          <w:lang w:val="lt-LT" w:eastAsia="en-US"/>
          <w14:ligatures w14:val="none"/>
        </w:rPr>
        <w:t>Per valandą nuo viešo supažindinimo pradžios neatvyko bei vienas visuomenės atstovas. Parengtas susirinkimo protokolas ir viešinimo dokumentų kopijos pateikiamos SPAV ataskaitos 1 priede.</w:t>
      </w:r>
    </w:p>
    <w:p w14:paraId="7AE17762" w14:textId="0006B9CD" w:rsidR="005A76DC" w:rsidRPr="0020626A" w:rsidRDefault="004142D2" w:rsidP="00960CB9">
      <w:pPr>
        <w:jc w:val="both"/>
        <w:rPr>
          <w:rFonts w:ascii="Arial" w:eastAsiaTheme="minorHAnsi" w:hAnsi="Arial" w:cs="Arial"/>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Tarpvalstybinės</w:t>
      </w:r>
      <w:r w:rsidR="001062D8" w:rsidRPr="0020626A">
        <w:rPr>
          <w:rFonts w:ascii="Arial" w:eastAsiaTheme="minorHAnsi" w:hAnsi="Arial" w:cs="Arial"/>
          <w:b/>
          <w:bCs/>
          <w:color w:val="000000"/>
          <w:kern w:val="0"/>
          <w:lang w:val="lt-LT" w:eastAsia="en-US"/>
          <w14:ligatures w14:val="none"/>
        </w:rPr>
        <w:t xml:space="preserve"> konsultacijos</w:t>
      </w:r>
      <w:r w:rsidR="0020626A" w:rsidRPr="0020626A">
        <w:rPr>
          <w:rFonts w:ascii="Arial" w:eastAsiaTheme="minorHAnsi" w:hAnsi="Arial" w:cs="Arial"/>
          <w:b/>
          <w:bCs/>
          <w:color w:val="000000"/>
          <w:kern w:val="0"/>
          <w:lang w:val="lt-LT" w:eastAsia="en-US"/>
          <w14:ligatures w14:val="none"/>
        </w:rPr>
        <w:t xml:space="preserve">. </w:t>
      </w:r>
      <w:r w:rsidRPr="0020626A">
        <w:rPr>
          <w:rFonts w:ascii="Arial" w:eastAsiaTheme="minorHAnsi" w:hAnsi="Arial" w:cs="Arial"/>
          <w:color w:val="000000"/>
          <w:kern w:val="0"/>
          <w:lang w:val="lt-LT" w:eastAsia="en-US"/>
          <w14:ligatures w14:val="none"/>
        </w:rPr>
        <w:t>Tarpvalstybinės</w:t>
      </w:r>
      <w:r w:rsidR="001062D8" w:rsidRPr="0020626A">
        <w:rPr>
          <w:rFonts w:ascii="Arial" w:eastAsiaTheme="minorHAnsi" w:hAnsi="Arial" w:cs="Arial"/>
          <w:color w:val="000000"/>
          <w:kern w:val="0"/>
          <w:lang w:val="lt-LT" w:eastAsia="en-US"/>
          <w14:ligatures w14:val="none"/>
        </w:rPr>
        <w:t xml:space="preserve"> konsultacijos </w:t>
      </w:r>
      <w:r w:rsidR="0020626A" w:rsidRPr="0020626A">
        <w:rPr>
          <w:rFonts w:ascii="Arial" w:eastAsiaTheme="minorHAnsi" w:hAnsi="Arial" w:cs="Arial"/>
          <w:color w:val="000000"/>
          <w:kern w:val="0"/>
          <w:lang w:val="lt-LT" w:eastAsia="en-US"/>
          <w14:ligatures w14:val="none"/>
        </w:rPr>
        <w:t xml:space="preserve">Planui </w:t>
      </w:r>
      <w:r w:rsidR="00B73583" w:rsidRPr="0020626A">
        <w:rPr>
          <w:rFonts w:ascii="Arial" w:eastAsiaTheme="minorHAnsi" w:hAnsi="Arial" w:cs="Arial"/>
          <w:color w:val="000000"/>
          <w:kern w:val="0"/>
          <w:lang w:val="lt-LT" w:eastAsia="en-US"/>
          <w14:ligatures w14:val="none"/>
        </w:rPr>
        <w:t>n</w:t>
      </w:r>
      <w:r w:rsidR="0020626A" w:rsidRPr="0020626A">
        <w:rPr>
          <w:rFonts w:ascii="Arial" w:eastAsiaTheme="minorHAnsi" w:hAnsi="Arial" w:cs="Arial"/>
          <w:color w:val="000000"/>
          <w:kern w:val="0"/>
          <w:lang w:val="lt-LT" w:eastAsia="en-US"/>
          <w14:ligatures w14:val="none"/>
        </w:rPr>
        <w:t>ėra</w:t>
      </w:r>
      <w:r w:rsidR="00B73583" w:rsidRPr="0020626A">
        <w:rPr>
          <w:rFonts w:ascii="Arial" w:eastAsiaTheme="minorHAnsi" w:hAnsi="Arial" w:cs="Arial"/>
          <w:color w:val="000000"/>
          <w:kern w:val="0"/>
          <w:lang w:val="lt-LT" w:eastAsia="en-US"/>
          <w14:ligatures w14:val="none"/>
        </w:rPr>
        <w:t xml:space="preserve"> </w:t>
      </w:r>
      <w:r w:rsidR="00747CED" w:rsidRPr="0020626A">
        <w:rPr>
          <w:rFonts w:ascii="Arial" w:eastAsiaTheme="minorHAnsi" w:hAnsi="Arial" w:cs="Arial"/>
          <w:color w:val="000000"/>
          <w:kern w:val="0"/>
          <w:lang w:val="lt-LT" w:eastAsia="en-US"/>
          <w14:ligatures w14:val="none"/>
        </w:rPr>
        <w:t xml:space="preserve">taikomos. </w:t>
      </w:r>
    </w:p>
    <w:p w14:paraId="6991DA28" w14:textId="77777777" w:rsidR="00A639E5" w:rsidRPr="0020626A" w:rsidRDefault="009C0976" w:rsidP="00960CB9">
      <w:pPr>
        <w:jc w:val="both"/>
        <w:rPr>
          <w:rFonts w:ascii="Arial" w:eastAsiaTheme="minorHAnsi" w:hAnsi="Arial" w:cs="Arial"/>
          <w:b/>
          <w:bCs/>
          <w:color w:val="000000"/>
          <w:kern w:val="0"/>
          <w:lang w:val="lt-LT" w:eastAsia="en-US"/>
          <w14:ligatures w14:val="none"/>
        </w:rPr>
      </w:pPr>
      <w:r w:rsidRPr="0020626A">
        <w:rPr>
          <w:rFonts w:ascii="Arial" w:eastAsiaTheme="minorHAnsi" w:hAnsi="Arial" w:cs="Arial"/>
          <w:b/>
          <w:bCs/>
          <w:color w:val="000000"/>
          <w:kern w:val="0"/>
          <w:lang w:val="lt-LT" w:eastAsia="en-US"/>
          <w14:ligatures w14:val="none"/>
        </w:rPr>
        <w:t>Numatytos plano įgyvendinimo pasekmių monitoringo priemonės</w:t>
      </w:r>
    </w:p>
    <w:p w14:paraId="3DF5949D" w14:textId="034B46B0" w:rsidR="00157BC5" w:rsidRDefault="00F7750E" w:rsidP="00960CB9">
      <w:pPr>
        <w:jc w:val="both"/>
        <w:rPr>
          <w:rFonts w:ascii="Arial" w:eastAsiaTheme="minorHAnsi" w:hAnsi="Arial" w:cs="Arial"/>
          <w:color w:val="000000"/>
          <w:kern w:val="0"/>
          <w:lang w:val="lt-LT" w:eastAsia="en-US"/>
          <w14:ligatures w14:val="none"/>
        </w:rPr>
      </w:pPr>
      <w:r w:rsidRPr="0020626A">
        <w:rPr>
          <w:rFonts w:ascii="Arial" w:eastAsiaTheme="minorHAnsi" w:hAnsi="Arial" w:cs="Arial"/>
          <w:color w:val="000000"/>
          <w:kern w:val="0"/>
          <w:lang w:val="lt-LT" w:eastAsia="en-US"/>
          <w14:ligatures w14:val="none"/>
        </w:rPr>
        <w:t xml:space="preserve">Plano įgyvendinimo </w:t>
      </w:r>
      <w:r w:rsidR="00573B8C">
        <w:rPr>
          <w:rFonts w:ascii="Arial" w:eastAsiaTheme="minorHAnsi" w:hAnsi="Arial" w:cs="Arial"/>
          <w:color w:val="000000"/>
          <w:kern w:val="0"/>
          <w:lang w:val="lt-LT" w:eastAsia="en-US"/>
          <w14:ligatures w14:val="none"/>
        </w:rPr>
        <w:t xml:space="preserve">vertinimo </w:t>
      </w:r>
      <w:r w:rsidRPr="0020626A">
        <w:rPr>
          <w:rFonts w:ascii="Arial" w:eastAsiaTheme="minorHAnsi" w:hAnsi="Arial" w:cs="Arial"/>
          <w:color w:val="000000"/>
          <w:kern w:val="0"/>
          <w:lang w:val="lt-LT" w:eastAsia="en-US"/>
          <w14:ligatures w14:val="none"/>
        </w:rPr>
        <w:t xml:space="preserve">rodikliai regionui numatyti remiantis Valstybiniu planu. Regionui numatytos priemonės yra priskiriamos ir savivaldybių prevencijos ir tvarkymo 2021 - 2027 metų planams, atitinkamai atsižvelgiant į jų atliekų rinkimo, tvarkymo srautus, bei poreikius. </w:t>
      </w:r>
    </w:p>
    <w:p w14:paraId="26396495" w14:textId="6E2C46CD" w:rsidR="00157BC5" w:rsidRPr="0020626A" w:rsidRDefault="00157BC5" w:rsidP="00960CB9">
      <w:pPr>
        <w:jc w:val="both"/>
        <w:rPr>
          <w:rFonts w:ascii="Arial" w:eastAsiaTheme="minorHAnsi" w:hAnsi="Arial" w:cs="Arial"/>
          <w:color w:val="000000"/>
          <w:kern w:val="0"/>
          <w:lang w:val="lt-LT" w:eastAsia="en-US"/>
          <w14:ligatures w14:val="none"/>
        </w:rPr>
      </w:pPr>
      <w:r>
        <w:rPr>
          <w:rFonts w:ascii="Arial" w:eastAsiaTheme="minorHAnsi" w:hAnsi="Arial" w:cs="Arial"/>
          <w:color w:val="000000"/>
          <w:kern w:val="0"/>
          <w:lang w:val="lt-LT" w:eastAsia="en-US"/>
          <w14:ligatures w14:val="none"/>
        </w:rPr>
        <w:t>Plano įgyvendinimo vertinimo rodikliai:</w:t>
      </w:r>
    </w:p>
    <w:tbl>
      <w:tblPr>
        <w:tblStyle w:val="2paprastojilentel"/>
        <w:tblW w:w="9759" w:type="dxa"/>
        <w:tblBorders>
          <w:insideH w:val="single" w:sz="4" w:space="0" w:color="7F7F7F" w:themeColor="text1" w:themeTint="80"/>
        </w:tblBorders>
        <w:tblLayout w:type="fixed"/>
        <w:tblLook w:val="0400" w:firstRow="0" w:lastRow="0" w:firstColumn="0" w:lastColumn="0" w:noHBand="0" w:noVBand="1"/>
      </w:tblPr>
      <w:tblGrid>
        <w:gridCol w:w="608"/>
        <w:gridCol w:w="2936"/>
        <w:gridCol w:w="1119"/>
        <w:gridCol w:w="523"/>
        <w:gridCol w:w="609"/>
        <w:gridCol w:w="572"/>
        <w:gridCol w:w="630"/>
        <w:gridCol w:w="720"/>
        <w:gridCol w:w="540"/>
        <w:gridCol w:w="720"/>
        <w:gridCol w:w="782"/>
      </w:tblGrid>
      <w:tr w:rsidR="00573B8C" w:rsidRPr="00157BC5" w14:paraId="1472020C" w14:textId="77777777" w:rsidTr="00573B8C">
        <w:trPr>
          <w:cnfStyle w:val="000000100000" w:firstRow="0" w:lastRow="0" w:firstColumn="0" w:lastColumn="0" w:oddVBand="0" w:evenVBand="0" w:oddHBand="1" w:evenHBand="0" w:firstRowFirstColumn="0" w:firstRowLastColumn="0" w:lastRowFirstColumn="0" w:lastRowLastColumn="0"/>
          <w:trHeight w:val="368"/>
        </w:trPr>
        <w:tc>
          <w:tcPr>
            <w:tcW w:w="608" w:type="dxa"/>
            <w:vMerge w:val="restart"/>
            <w:tcBorders>
              <w:left w:val="nil"/>
              <w:right w:val="nil"/>
            </w:tcBorders>
            <w:vAlign w:val="center"/>
            <w:hideMark/>
          </w:tcPr>
          <w:p w14:paraId="7086377A"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Nr.</w:t>
            </w:r>
          </w:p>
        </w:tc>
        <w:tc>
          <w:tcPr>
            <w:tcW w:w="2936" w:type="dxa"/>
            <w:vMerge w:val="restart"/>
            <w:tcBorders>
              <w:left w:val="nil"/>
              <w:right w:val="nil"/>
            </w:tcBorders>
            <w:vAlign w:val="center"/>
            <w:hideMark/>
          </w:tcPr>
          <w:p w14:paraId="680B3715"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Vertinimo rodiklis</w:t>
            </w:r>
          </w:p>
        </w:tc>
        <w:tc>
          <w:tcPr>
            <w:tcW w:w="1119" w:type="dxa"/>
            <w:vMerge w:val="restart"/>
            <w:tcBorders>
              <w:left w:val="nil"/>
              <w:right w:val="nil"/>
            </w:tcBorders>
            <w:vAlign w:val="center"/>
          </w:tcPr>
          <w:p w14:paraId="114D12E6"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Matavimo vnt.</w:t>
            </w:r>
          </w:p>
        </w:tc>
        <w:tc>
          <w:tcPr>
            <w:tcW w:w="3594" w:type="dxa"/>
            <w:gridSpan w:val="6"/>
            <w:tcBorders>
              <w:left w:val="nil"/>
              <w:right w:val="nil"/>
            </w:tcBorders>
            <w:vAlign w:val="center"/>
          </w:tcPr>
          <w:p w14:paraId="54DAB51B"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Tarpiniai rezultatai</w:t>
            </w:r>
          </w:p>
        </w:tc>
        <w:tc>
          <w:tcPr>
            <w:tcW w:w="1502" w:type="dxa"/>
            <w:gridSpan w:val="2"/>
            <w:vMerge w:val="restart"/>
            <w:tcBorders>
              <w:left w:val="nil"/>
              <w:right w:val="nil"/>
            </w:tcBorders>
            <w:vAlign w:val="center"/>
          </w:tcPr>
          <w:p w14:paraId="6562A572"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2027 m. uždavinys</w:t>
            </w:r>
          </w:p>
        </w:tc>
      </w:tr>
      <w:tr w:rsidR="00573B8C" w:rsidRPr="00157BC5" w14:paraId="20217C20" w14:textId="77777777" w:rsidTr="00573B8C">
        <w:trPr>
          <w:trHeight w:val="341"/>
        </w:trPr>
        <w:tc>
          <w:tcPr>
            <w:tcW w:w="608" w:type="dxa"/>
            <w:vMerge/>
            <w:tcBorders>
              <w:left w:val="nil"/>
              <w:right w:val="nil"/>
            </w:tcBorders>
            <w:vAlign w:val="center"/>
          </w:tcPr>
          <w:p w14:paraId="74C554F5" w14:textId="77777777" w:rsidR="00573B8C" w:rsidRPr="00157BC5" w:rsidRDefault="00573B8C" w:rsidP="00AC2F9A">
            <w:pPr>
              <w:rPr>
                <w:rFonts w:ascii="Arial" w:hAnsi="Arial" w:cs="Arial"/>
                <w:b/>
                <w:bCs/>
                <w:sz w:val="18"/>
                <w:szCs w:val="16"/>
                <w:lang w:val="lt-LT"/>
              </w:rPr>
            </w:pPr>
          </w:p>
        </w:tc>
        <w:tc>
          <w:tcPr>
            <w:tcW w:w="2936" w:type="dxa"/>
            <w:vMerge/>
            <w:tcBorders>
              <w:left w:val="nil"/>
              <w:right w:val="nil"/>
            </w:tcBorders>
            <w:vAlign w:val="center"/>
          </w:tcPr>
          <w:p w14:paraId="51592999" w14:textId="77777777" w:rsidR="00573B8C" w:rsidRPr="00157BC5" w:rsidRDefault="00573B8C" w:rsidP="00AC2F9A">
            <w:pPr>
              <w:rPr>
                <w:rFonts w:ascii="Arial" w:hAnsi="Arial" w:cs="Arial"/>
                <w:b/>
                <w:bCs/>
                <w:sz w:val="18"/>
                <w:szCs w:val="16"/>
                <w:lang w:val="lt-LT"/>
              </w:rPr>
            </w:pPr>
          </w:p>
        </w:tc>
        <w:tc>
          <w:tcPr>
            <w:tcW w:w="1119" w:type="dxa"/>
            <w:vMerge/>
            <w:tcBorders>
              <w:left w:val="nil"/>
              <w:right w:val="nil"/>
            </w:tcBorders>
            <w:vAlign w:val="center"/>
          </w:tcPr>
          <w:p w14:paraId="649DB051" w14:textId="77777777" w:rsidR="00573B8C" w:rsidRPr="00157BC5" w:rsidRDefault="00573B8C" w:rsidP="00AC2F9A">
            <w:pPr>
              <w:rPr>
                <w:rFonts w:ascii="Arial" w:hAnsi="Arial" w:cs="Arial"/>
                <w:b/>
                <w:bCs/>
                <w:sz w:val="18"/>
                <w:szCs w:val="16"/>
                <w:lang w:val="lt-LT"/>
              </w:rPr>
            </w:pPr>
          </w:p>
        </w:tc>
        <w:tc>
          <w:tcPr>
            <w:tcW w:w="1132" w:type="dxa"/>
            <w:gridSpan w:val="2"/>
            <w:tcBorders>
              <w:left w:val="nil"/>
              <w:right w:val="nil"/>
            </w:tcBorders>
            <w:vAlign w:val="center"/>
          </w:tcPr>
          <w:p w14:paraId="1081F62F"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2024 m.</w:t>
            </w:r>
          </w:p>
        </w:tc>
        <w:tc>
          <w:tcPr>
            <w:tcW w:w="1202" w:type="dxa"/>
            <w:gridSpan w:val="2"/>
            <w:tcBorders>
              <w:left w:val="nil"/>
              <w:right w:val="nil"/>
            </w:tcBorders>
            <w:vAlign w:val="center"/>
          </w:tcPr>
          <w:p w14:paraId="64CE2BFC"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2025 m.</w:t>
            </w:r>
          </w:p>
        </w:tc>
        <w:tc>
          <w:tcPr>
            <w:tcW w:w="1260" w:type="dxa"/>
            <w:gridSpan w:val="2"/>
            <w:tcBorders>
              <w:left w:val="nil"/>
              <w:right w:val="nil"/>
            </w:tcBorders>
            <w:vAlign w:val="center"/>
          </w:tcPr>
          <w:p w14:paraId="547A4441"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2026 m.</w:t>
            </w:r>
          </w:p>
        </w:tc>
        <w:tc>
          <w:tcPr>
            <w:tcW w:w="1502" w:type="dxa"/>
            <w:gridSpan w:val="2"/>
            <w:vMerge/>
            <w:tcBorders>
              <w:left w:val="nil"/>
              <w:right w:val="nil"/>
            </w:tcBorders>
            <w:vAlign w:val="center"/>
          </w:tcPr>
          <w:p w14:paraId="7199460E" w14:textId="77777777" w:rsidR="00573B8C" w:rsidRPr="00157BC5" w:rsidRDefault="00573B8C" w:rsidP="00AC2F9A">
            <w:pPr>
              <w:rPr>
                <w:rFonts w:ascii="Arial" w:hAnsi="Arial" w:cs="Arial"/>
                <w:b/>
                <w:bCs/>
                <w:sz w:val="18"/>
                <w:szCs w:val="16"/>
                <w:lang w:val="lt-LT"/>
              </w:rPr>
            </w:pPr>
          </w:p>
        </w:tc>
      </w:tr>
      <w:tr w:rsidR="00573B8C" w:rsidRPr="00157BC5" w14:paraId="756CA269" w14:textId="77777777" w:rsidTr="00573B8C">
        <w:trPr>
          <w:cnfStyle w:val="000000100000" w:firstRow="0" w:lastRow="0" w:firstColumn="0" w:lastColumn="0" w:oddVBand="0" w:evenVBand="0" w:oddHBand="1" w:evenHBand="0" w:firstRowFirstColumn="0" w:firstRowLastColumn="0" w:lastRowFirstColumn="0" w:lastRowLastColumn="0"/>
          <w:trHeight w:val="341"/>
        </w:trPr>
        <w:tc>
          <w:tcPr>
            <w:tcW w:w="608" w:type="dxa"/>
            <w:vMerge/>
            <w:tcBorders>
              <w:left w:val="nil"/>
              <w:right w:val="nil"/>
            </w:tcBorders>
            <w:vAlign w:val="center"/>
          </w:tcPr>
          <w:p w14:paraId="3FA3A6F9" w14:textId="77777777" w:rsidR="00573B8C" w:rsidRPr="00157BC5" w:rsidRDefault="00573B8C" w:rsidP="00AC2F9A">
            <w:pPr>
              <w:rPr>
                <w:rFonts w:ascii="Arial" w:hAnsi="Arial" w:cs="Arial"/>
                <w:b/>
                <w:bCs/>
                <w:sz w:val="18"/>
                <w:szCs w:val="16"/>
                <w:lang w:val="lt-LT"/>
              </w:rPr>
            </w:pPr>
          </w:p>
        </w:tc>
        <w:tc>
          <w:tcPr>
            <w:tcW w:w="2936" w:type="dxa"/>
            <w:vMerge/>
            <w:tcBorders>
              <w:left w:val="nil"/>
              <w:right w:val="nil"/>
            </w:tcBorders>
            <w:vAlign w:val="center"/>
          </w:tcPr>
          <w:p w14:paraId="04498603" w14:textId="77777777" w:rsidR="00573B8C" w:rsidRPr="00157BC5" w:rsidRDefault="00573B8C" w:rsidP="00AC2F9A">
            <w:pPr>
              <w:rPr>
                <w:rFonts w:ascii="Arial" w:hAnsi="Arial" w:cs="Arial"/>
                <w:b/>
                <w:bCs/>
                <w:sz w:val="18"/>
                <w:szCs w:val="16"/>
                <w:lang w:val="lt-LT"/>
              </w:rPr>
            </w:pPr>
          </w:p>
        </w:tc>
        <w:tc>
          <w:tcPr>
            <w:tcW w:w="1119" w:type="dxa"/>
            <w:vMerge/>
            <w:tcBorders>
              <w:left w:val="nil"/>
              <w:right w:val="nil"/>
            </w:tcBorders>
            <w:vAlign w:val="center"/>
          </w:tcPr>
          <w:p w14:paraId="13A6D59E" w14:textId="77777777" w:rsidR="00573B8C" w:rsidRPr="00157BC5" w:rsidRDefault="00573B8C" w:rsidP="00AC2F9A">
            <w:pPr>
              <w:rPr>
                <w:rFonts w:ascii="Arial" w:hAnsi="Arial" w:cs="Arial"/>
                <w:b/>
                <w:bCs/>
                <w:sz w:val="18"/>
                <w:szCs w:val="16"/>
                <w:lang w:val="lt-LT"/>
              </w:rPr>
            </w:pPr>
          </w:p>
        </w:tc>
        <w:tc>
          <w:tcPr>
            <w:tcW w:w="523" w:type="dxa"/>
            <w:tcBorders>
              <w:left w:val="nil"/>
              <w:right w:val="nil"/>
            </w:tcBorders>
            <w:vAlign w:val="center"/>
          </w:tcPr>
          <w:p w14:paraId="025DCE8B"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w:t>
            </w:r>
          </w:p>
        </w:tc>
        <w:tc>
          <w:tcPr>
            <w:tcW w:w="609" w:type="dxa"/>
            <w:tcBorders>
              <w:left w:val="nil"/>
              <w:right w:val="nil"/>
            </w:tcBorders>
            <w:vAlign w:val="center"/>
          </w:tcPr>
          <w:p w14:paraId="63C94A30"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II</w:t>
            </w:r>
          </w:p>
        </w:tc>
        <w:tc>
          <w:tcPr>
            <w:tcW w:w="572" w:type="dxa"/>
            <w:tcBorders>
              <w:left w:val="nil"/>
              <w:right w:val="nil"/>
            </w:tcBorders>
            <w:vAlign w:val="center"/>
          </w:tcPr>
          <w:p w14:paraId="3C300D46"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w:t>
            </w:r>
          </w:p>
        </w:tc>
        <w:tc>
          <w:tcPr>
            <w:tcW w:w="630" w:type="dxa"/>
            <w:tcBorders>
              <w:left w:val="nil"/>
              <w:right w:val="nil"/>
            </w:tcBorders>
            <w:vAlign w:val="center"/>
          </w:tcPr>
          <w:p w14:paraId="1A7A0E40" w14:textId="77777777" w:rsidR="00573B8C" w:rsidRPr="00157BC5" w:rsidDel="00155715" w:rsidRDefault="00573B8C" w:rsidP="00AC2F9A">
            <w:pPr>
              <w:rPr>
                <w:rFonts w:ascii="Arial" w:hAnsi="Arial" w:cs="Arial"/>
                <w:b/>
                <w:bCs/>
                <w:sz w:val="18"/>
                <w:szCs w:val="16"/>
                <w:lang w:val="lt-LT"/>
              </w:rPr>
            </w:pPr>
            <w:r w:rsidRPr="00157BC5">
              <w:rPr>
                <w:rFonts w:ascii="Arial" w:hAnsi="Arial" w:cs="Arial"/>
                <w:b/>
                <w:bCs/>
                <w:sz w:val="18"/>
                <w:szCs w:val="16"/>
                <w:lang w:val="lt-LT"/>
              </w:rPr>
              <w:t>II</w:t>
            </w:r>
          </w:p>
        </w:tc>
        <w:tc>
          <w:tcPr>
            <w:tcW w:w="720" w:type="dxa"/>
            <w:tcBorders>
              <w:left w:val="nil"/>
              <w:right w:val="nil"/>
            </w:tcBorders>
            <w:vAlign w:val="center"/>
          </w:tcPr>
          <w:p w14:paraId="57815C3B"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w:t>
            </w:r>
          </w:p>
        </w:tc>
        <w:tc>
          <w:tcPr>
            <w:tcW w:w="540" w:type="dxa"/>
            <w:tcBorders>
              <w:left w:val="nil"/>
              <w:right w:val="nil"/>
            </w:tcBorders>
            <w:vAlign w:val="center"/>
          </w:tcPr>
          <w:p w14:paraId="18BC1901"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II</w:t>
            </w:r>
          </w:p>
        </w:tc>
        <w:tc>
          <w:tcPr>
            <w:tcW w:w="720" w:type="dxa"/>
            <w:tcBorders>
              <w:left w:val="nil"/>
              <w:right w:val="nil"/>
            </w:tcBorders>
            <w:vAlign w:val="center"/>
          </w:tcPr>
          <w:p w14:paraId="0317FF7A"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w:t>
            </w:r>
          </w:p>
        </w:tc>
        <w:tc>
          <w:tcPr>
            <w:tcW w:w="782" w:type="dxa"/>
            <w:tcBorders>
              <w:left w:val="nil"/>
              <w:right w:val="nil"/>
            </w:tcBorders>
            <w:vAlign w:val="center"/>
          </w:tcPr>
          <w:p w14:paraId="4AB0A311"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II</w:t>
            </w:r>
          </w:p>
        </w:tc>
      </w:tr>
      <w:tr w:rsidR="00573B8C" w:rsidRPr="00157BC5" w14:paraId="422DD795" w14:textId="77777777" w:rsidTr="00573B8C">
        <w:trPr>
          <w:trHeight w:val="386"/>
        </w:trPr>
        <w:tc>
          <w:tcPr>
            <w:tcW w:w="608" w:type="dxa"/>
            <w:tcBorders>
              <w:left w:val="nil"/>
              <w:right w:val="nil"/>
            </w:tcBorders>
            <w:vAlign w:val="center"/>
          </w:tcPr>
          <w:p w14:paraId="639F81D1" w14:textId="77777777" w:rsidR="00573B8C" w:rsidRPr="00157BC5" w:rsidDel="00F14ADA" w:rsidRDefault="00573B8C" w:rsidP="00AC2F9A">
            <w:pPr>
              <w:rPr>
                <w:rFonts w:ascii="Arial" w:hAnsi="Arial" w:cs="Arial"/>
                <w:b/>
                <w:bCs/>
                <w:sz w:val="18"/>
                <w:szCs w:val="16"/>
                <w:lang w:val="lt-LT"/>
              </w:rPr>
            </w:pPr>
          </w:p>
        </w:tc>
        <w:tc>
          <w:tcPr>
            <w:tcW w:w="9148" w:type="dxa"/>
            <w:gridSpan w:val="10"/>
            <w:tcBorders>
              <w:left w:val="nil"/>
              <w:right w:val="nil"/>
            </w:tcBorders>
            <w:vAlign w:val="center"/>
          </w:tcPr>
          <w:p w14:paraId="79440983"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1 tikslas. Skatinti tvarią komunalinių atliekų susidarymo prevenciją</w:t>
            </w:r>
          </w:p>
        </w:tc>
      </w:tr>
      <w:tr w:rsidR="00573B8C" w:rsidRPr="00157BC5" w14:paraId="58597EF2" w14:textId="77777777" w:rsidTr="00573B8C">
        <w:trPr>
          <w:cnfStyle w:val="000000100000" w:firstRow="0" w:lastRow="0" w:firstColumn="0" w:lastColumn="0" w:oddVBand="0" w:evenVBand="0" w:oddHBand="1" w:evenHBand="0" w:firstRowFirstColumn="0" w:firstRowLastColumn="0" w:lastRowFirstColumn="0" w:lastRowLastColumn="0"/>
          <w:trHeight w:val="431"/>
        </w:trPr>
        <w:tc>
          <w:tcPr>
            <w:tcW w:w="608" w:type="dxa"/>
            <w:tcBorders>
              <w:left w:val="nil"/>
              <w:right w:val="nil"/>
            </w:tcBorders>
            <w:vAlign w:val="center"/>
          </w:tcPr>
          <w:p w14:paraId="73B445A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1.1</w:t>
            </w:r>
          </w:p>
        </w:tc>
        <w:tc>
          <w:tcPr>
            <w:tcW w:w="2936" w:type="dxa"/>
            <w:tcBorders>
              <w:left w:val="nil"/>
              <w:right w:val="nil"/>
            </w:tcBorders>
            <w:vAlign w:val="center"/>
          </w:tcPr>
          <w:p w14:paraId="65E1A974" w14:textId="77777777" w:rsidR="00573B8C" w:rsidRPr="00157BC5" w:rsidRDefault="00573B8C" w:rsidP="00AC2F9A">
            <w:pPr>
              <w:rPr>
                <w:rFonts w:ascii="Arial" w:hAnsi="Arial" w:cs="Arial"/>
                <w:sz w:val="18"/>
                <w:szCs w:val="16"/>
                <w:highlight w:val="yellow"/>
                <w:lang w:val="lt-LT"/>
              </w:rPr>
            </w:pPr>
            <w:r w:rsidRPr="00157BC5">
              <w:rPr>
                <w:rFonts w:ascii="Arial" w:hAnsi="Arial" w:cs="Arial"/>
                <w:sz w:val="18"/>
                <w:szCs w:val="16"/>
                <w:lang w:val="lt-LT"/>
              </w:rPr>
              <w:t xml:space="preserve">Vienam gyventojui susidarantis maisto-virtuvės atliekų kiekis </w:t>
            </w:r>
          </w:p>
        </w:tc>
        <w:tc>
          <w:tcPr>
            <w:tcW w:w="1119" w:type="dxa"/>
            <w:tcBorders>
              <w:left w:val="nil"/>
              <w:right w:val="nil"/>
            </w:tcBorders>
            <w:vAlign w:val="center"/>
          </w:tcPr>
          <w:p w14:paraId="1D2EBC8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kg / gyv.</w:t>
            </w:r>
          </w:p>
        </w:tc>
        <w:tc>
          <w:tcPr>
            <w:tcW w:w="1132" w:type="dxa"/>
            <w:gridSpan w:val="2"/>
            <w:tcBorders>
              <w:left w:val="nil"/>
              <w:right w:val="nil"/>
            </w:tcBorders>
            <w:vAlign w:val="center"/>
          </w:tcPr>
          <w:p w14:paraId="25045F44"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85</w:t>
            </w:r>
          </w:p>
        </w:tc>
        <w:tc>
          <w:tcPr>
            <w:tcW w:w="1202" w:type="dxa"/>
            <w:gridSpan w:val="2"/>
            <w:tcBorders>
              <w:left w:val="nil"/>
              <w:right w:val="nil"/>
            </w:tcBorders>
            <w:vAlign w:val="center"/>
          </w:tcPr>
          <w:p w14:paraId="33C778B7"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83</w:t>
            </w:r>
          </w:p>
        </w:tc>
        <w:tc>
          <w:tcPr>
            <w:tcW w:w="1260" w:type="dxa"/>
            <w:gridSpan w:val="2"/>
            <w:tcBorders>
              <w:left w:val="nil"/>
              <w:right w:val="nil"/>
            </w:tcBorders>
            <w:vAlign w:val="center"/>
          </w:tcPr>
          <w:p w14:paraId="066EC320"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81</w:t>
            </w:r>
          </w:p>
        </w:tc>
        <w:tc>
          <w:tcPr>
            <w:tcW w:w="1502" w:type="dxa"/>
            <w:gridSpan w:val="2"/>
            <w:tcBorders>
              <w:left w:val="nil"/>
              <w:right w:val="nil"/>
            </w:tcBorders>
            <w:vAlign w:val="center"/>
          </w:tcPr>
          <w:p w14:paraId="62405068"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80</w:t>
            </w:r>
          </w:p>
        </w:tc>
      </w:tr>
      <w:tr w:rsidR="00573B8C" w:rsidRPr="00157BC5" w14:paraId="0478F78C" w14:textId="77777777" w:rsidTr="00573B8C">
        <w:trPr>
          <w:trHeight w:val="431"/>
        </w:trPr>
        <w:tc>
          <w:tcPr>
            <w:tcW w:w="608" w:type="dxa"/>
            <w:tcBorders>
              <w:left w:val="nil"/>
              <w:right w:val="nil"/>
            </w:tcBorders>
            <w:vAlign w:val="center"/>
          </w:tcPr>
          <w:p w14:paraId="7C67E998"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1.2</w:t>
            </w:r>
          </w:p>
        </w:tc>
        <w:tc>
          <w:tcPr>
            <w:tcW w:w="2936" w:type="dxa"/>
            <w:tcBorders>
              <w:left w:val="nil"/>
              <w:right w:val="nil"/>
            </w:tcBorders>
            <w:vAlign w:val="center"/>
          </w:tcPr>
          <w:p w14:paraId="39796AB3"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Vienam gyventojui susidarantis žaliųjų atliekų kiekis</w:t>
            </w:r>
          </w:p>
        </w:tc>
        <w:tc>
          <w:tcPr>
            <w:tcW w:w="1119" w:type="dxa"/>
            <w:tcBorders>
              <w:left w:val="nil"/>
              <w:right w:val="nil"/>
            </w:tcBorders>
            <w:vAlign w:val="center"/>
          </w:tcPr>
          <w:p w14:paraId="01FF1FE3"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kg / gyv.</w:t>
            </w:r>
          </w:p>
        </w:tc>
        <w:tc>
          <w:tcPr>
            <w:tcW w:w="1132" w:type="dxa"/>
            <w:gridSpan w:val="2"/>
            <w:tcBorders>
              <w:left w:val="nil"/>
              <w:right w:val="nil"/>
            </w:tcBorders>
            <w:vAlign w:val="center"/>
          </w:tcPr>
          <w:p w14:paraId="3376E630"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97</w:t>
            </w:r>
          </w:p>
        </w:tc>
        <w:tc>
          <w:tcPr>
            <w:tcW w:w="1202" w:type="dxa"/>
            <w:gridSpan w:val="2"/>
            <w:tcBorders>
              <w:left w:val="nil"/>
              <w:right w:val="nil"/>
            </w:tcBorders>
            <w:vAlign w:val="center"/>
          </w:tcPr>
          <w:p w14:paraId="7369850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95</w:t>
            </w:r>
          </w:p>
        </w:tc>
        <w:tc>
          <w:tcPr>
            <w:tcW w:w="1260" w:type="dxa"/>
            <w:gridSpan w:val="2"/>
            <w:tcBorders>
              <w:left w:val="nil"/>
              <w:right w:val="nil"/>
            </w:tcBorders>
            <w:vAlign w:val="center"/>
          </w:tcPr>
          <w:p w14:paraId="32220463"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92</w:t>
            </w:r>
          </w:p>
        </w:tc>
        <w:tc>
          <w:tcPr>
            <w:tcW w:w="1502" w:type="dxa"/>
            <w:gridSpan w:val="2"/>
            <w:tcBorders>
              <w:left w:val="nil"/>
              <w:right w:val="nil"/>
            </w:tcBorders>
            <w:vAlign w:val="center"/>
          </w:tcPr>
          <w:p w14:paraId="5E0F1A83"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90</w:t>
            </w:r>
          </w:p>
        </w:tc>
      </w:tr>
      <w:tr w:rsidR="00573B8C" w:rsidRPr="00157BC5" w14:paraId="0340B5B8" w14:textId="77777777" w:rsidTr="00573B8C">
        <w:trPr>
          <w:cnfStyle w:val="000000100000" w:firstRow="0" w:lastRow="0" w:firstColumn="0" w:lastColumn="0" w:oddVBand="0" w:evenVBand="0" w:oddHBand="1" w:evenHBand="0" w:firstRowFirstColumn="0" w:firstRowLastColumn="0" w:lastRowFirstColumn="0" w:lastRowLastColumn="0"/>
          <w:trHeight w:val="96"/>
        </w:trPr>
        <w:tc>
          <w:tcPr>
            <w:tcW w:w="608" w:type="dxa"/>
            <w:tcBorders>
              <w:left w:val="nil"/>
              <w:right w:val="nil"/>
            </w:tcBorders>
            <w:vAlign w:val="center"/>
          </w:tcPr>
          <w:p w14:paraId="2FBD752D"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1.3</w:t>
            </w:r>
          </w:p>
        </w:tc>
        <w:tc>
          <w:tcPr>
            <w:tcW w:w="2936" w:type="dxa"/>
            <w:tcBorders>
              <w:left w:val="nil"/>
              <w:right w:val="nil"/>
            </w:tcBorders>
            <w:vAlign w:val="center"/>
          </w:tcPr>
          <w:p w14:paraId="1245057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Lietuvoje ir Alytaus regione vienam gyventojui susidarančių PA ir AŽ kiekio pokytis lyginant su praėjusiais metais </w:t>
            </w:r>
          </w:p>
        </w:tc>
        <w:tc>
          <w:tcPr>
            <w:tcW w:w="1119" w:type="dxa"/>
            <w:tcBorders>
              <w:left w:val="nil"/>
              <w:right w:val="nil"/>
            </w:tcBorders>
            <w:vAlign w:val="center"/>
          </w:tcPr>
          <w:p w14:paraId="7CF01A1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kg / gyv.</w:t>
            </w:r>
          </w:p>
        </w:tc>
        <w:tc>
          <w:tcPr>
            <w:tcW w:w="1132" w:type="dxa"/>
            <w:gridSpan w:val="2"/>
            <w:tcBorders>
              <w:left w:val="nil"/>
              <w:right w:val="nil"/>
            </w:tcBorders>
            <w:vAlign w:val="center"/>
          </w:tcPr>
          <w:p w14:paraId="2226FA52"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(A) &lt; (L)</w:t>
            </w:r>
          </w:p>
        </w:tc>
        <w:tc>
          <w:tcPr>
            <w:tcW w:w="1202" w:type="dxa"/>
            <w:gridSpan w:val="2"/>
            <w:tcBorders>
              <w:left w:val="nil"/>
              <w:right w:val="nil"/>
            </w:tcBorders>
            <w:vAlign w:val="center"/>
          </w:tcPr>
          <w:p w14:paraId="4C5DD45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(A) &lt; (L)</w:t>
            </w:r>
          </w:p>
        </w:tc>
        <w:tc>
          <w:tcPr>
            <w:tcW w:w="1260" w:type="dxa"/>
            <w:gridSpan w:val="2"/>
            <w:tcBorders>
              <w:left w:val="nil"/>
              <w:right w:val="nil"/>
            </w:tcBorders>
            <w:vAlign w:val="center"/>
          </w:tcPr>
          <w:p w14:paraId="46A8AC95"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(A) &lt; (L)</w:t>
            </w:r>
          </w:p>
        </w:tc>
        <w:tc>
          <w:tcPr>
            <w:tcW w:w="1502" w:type="dxa"/>
            <w:gridSpan w:val="2"/>
            <w:tcBorders>
              <w:left w:val="nil"/>
              <w:right w:val="nil"/>
            </w:tcBorders>
            <w:vAlign w:val="center"/>
          </w:tcPr>
          <w:p w14:paraId="4FF19DD4"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(A) &lt; (L)</w:t>
            </w:r>
            <w:r w:rsidRPr="00157BC5">
              <w:rPr>
                <w:rStyle w:val="Puslapioinaosnuoroda"/>
                <w:rFonts w:ascii="Arial" w:hAnsi="Arial" w:cs="Arial"/>
                <w:b/>
                <w:bCs/>
                <w:sz w:val="18"/>
                <w:szCs w:val="16"/>
                <w:lang w:val="lt-LT"/>
              </w:rPr>
              <w:footnoteReference w:id="1"/>
            </w:r>
          </w:p>
        </w:tc>
      </w:tr>
      <w:tr w:rsidR="00573B8C" w:rsidRPr="00157BC5" w14:paraId="553C6A08" w14:textId="77777777" w:rsidTr="00573B8C">
        <w:trPr>
          <w:trHeight w:val="359"/>
        </w:trPr>
        <w:tc>
          <w:tcPr>
            <w:tcW w:w="608" w:type="dxa"/>
            <w:tcBorders>
              <w:left w:val="nil"/>
              <w:right w:val="nil"/>
            </w:tcBorders>
            <w:vAlign w:val="center"/>
          </w:tcPr>
          <w:p w14:paraId="6488164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1.4</w:t>
            </w:r>
          </w:p>
        </w:tc>
        <w:tc>
          <w:tcPr>
            <w:tcW w:w="2936" w:type="dxa"/>
            <w:tcBorders>
              <w:left w:val="nil"/>
              <w:right w:val="nil"/>
            </w:tcBorders>
            <w:vAlign w:val="center"/>
          </w:tcPr>
          <w:p w14:paraId="53CC8C99"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Vienam gyventojui susidarantis tekstilės atliekų kiekis</w:t>
            </w:r>
          </w:p>
        </w:tc>
        <w:tc>
          <w:tcPr>
            <w:tcW w:w="1119" w:type="dxa"/>
            <w:tcBorders>
              <w:left w:val="nil"/>
              <w:right w:val="nil"/>
            </w:tcBorders>
            <w:vAlign w:val="center"/>
          </w:tcPr>
          <w:p w14:paraId="693AA764"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kg / gyv.</w:t>
            </w:r>
          </w:p>
        </w:tc>
        <w:tc>
          <w:tcPr>
            <w:tcW w:w="1132" w:type="dxa"/>
            <w:gridSpan w:val="2"/>
            <w:tcBorders>
              <w:left w:val="nil"/>
              <w:right w:val="nil"/>
            </w:tcBorders>
            <w:vAlign w:val="center"/>
          </w:tcPr>
          <w:p w14:paraId="0A34910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28</w:t>
            </w:r>
          </w:p>
        </w:tc>
        <w:tc>
          <w:tcPr>
            <w:tcW w:w="1202" w:type="dxa"/>
            <w:gridSpan w:val="2"/>
            <w:tcBorders>
              <w:left w:val="nil"/>
              <w:right w:val="nil"/>
            </w:tcBorders>
            <w:vAlign w:val="center"/>
          </w:tcPr>
          <w:p w14:paraId="1DAD84E1"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30</w:t>
            </w:r>
          </w:p>
        </w:tc>
        <w:tc>
          <w:tcPr>
            <w:tcW w:w="1260" w:type="dxa"/>
            <w:gridSpan w:val="2"/>
            <w:tcBorders>
              <w:left w:val="nil"/>
              <w:right w:val="nil"/>
            </w:tcBorders>
            <w:vAlign w:val="center"/>
          </w:tcPr>
          <w:p w14:paraId="24CF6775"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32</w:t>
            </w:r>
          </w:p>
        </w:tc>
        <w:tc>
          <w:tcPr>
            <w:tcW w:w="1502" w:type="dxa"/>
            <w:gridSpan w:val="2"/>
            <w:tcBorders>
              <w:left w:val="nil"/>
              <w:right w:val="nil"/>
            </w:tcBorders>
            <w:vAlign w:val="center"/>
          </w:tcPr>
          <w:p w14:paraId="43C0C46D"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34</w:t>
            </w:r>
          </w:p>
        </w:tc>
      </w:tr>
      <w:tr w:rsidR="00573B8C" w:rsidRPr="00157BC5" w14:paraId="5B579FDA" w14:textId="77777777" w:rsidTr="00573B8C">
        <w:trPr>
          <w:cnfStyle w:val="000000100000" w:firstRow="0" w:lastRow="0" w:firstColumn="0" w:lastColumn="0" w:oddVBand="0" w:evenVBand="0" w:oddHBand="1" w:evenHBand="0" w:firstRowFirstColumn="0" w:firstRowLastColumn="0" w:lastRowFirstColumn="0" w:lastRowLastColumn="0"/>
          <w:trHeight w:val="530"/>
        </w:trPr>
        <w:tc>
          <w:tcPr>
            <w:tcW w:w="608" w:type="dxa"/>
            <w:tcBorders>
              <w:left w:val="nil"/>
              <w:right w:val="nil"/>
            </w:tcBorders>
            <w:vAlign w:val="center"/>
          </w:tcPr>
          <w:p w14:paraId="09BC85FB" w14:textId="77777777" w:rsidR="00573B8C" w:rsidRPr="00157BC5" w:rsidRDefault="00573B8C" w:rsidP="00AC2F9A">
            <w:pPr>
              <w:rPr>
                <w:rFonts w:ascii="Arial" w:hAnsi="Arial" w:cs="Arial"/>
                <w:sz w:val="18"/>
                <w:szCs w:val="16"/>
                <w:highlight w:val="yellow"/>
                <w:lang w:val="lt-LT"/>
              </w:rPr>
            </w:pPr>
            <w:r w:rsidRPr="00157BC5">
              <w:rPr>
                <w:rFonts w:ascii="Arial" w:hAnsi="Arial" w:cs="Arial"/>
                <w:sz w:val="18"/>
                <w:szCs w:val="16"/>
                <w:lang w:val="lt-LT"/>
              </w:rPr>
              <w:lastRenderedPageBreak/>
              <w:t>1.5</w:t>
            </w:r>
          </w:p>
        </w:tc>
        <w:tc>
          <w:tcPr>
            <w:tcW w:w="2936" w:type="dxa"/>
            <w:tcBorders>
              <w:left w:val="nil"/>
              <w:right w:val="nil"/>
            </w:tcBorders>
            <w:vAlign w:val="center"/>
          </w:tcPr>
          <w:p w14:paraId="206CB631" w14:textId="77777777" w:rsidR="00573B8C" w:rsidRPr="00157BC5" w:rsidRDefault="00573B8C" w:rsidP="00AC2F9A">
            <w:pPr>
              <w:rPr>
                <w:rFonts w:ascii="Arial" w:hAnsi="Arial" w:cs="Arial"/>
                <w:sz w:val="18"/>
                <w:szCs w:val="16"/>
                <w:highlight w:val="yellow"/>
                <w:lang w:val="lt-LT"/>
              </w:rPr>
            </w:pPr>
            <w:r w:rsidRPr="00157BC5">
              <w:rPr>
                <w:rFonts w:ascii="Arial" w:hAnsi="Arial" w:cs="Arial"/>
                <w:sz w:val="18"/>
                <w:szCs w:val="16"/>
                <w:lang w:val="lt-LT"/>
              </w:rPr>
              <w:t xml:space="preserve">Vienam gyventojui susidarantis higienos priemonių atliekų (pvz. sauskelnių) atliekų kiekis </w:t>
            </w:r>
          </w:p>
        </w:tc>
        <w:tc>
          <w:tcPr>
            <w:tcW w:w="1119" w:type="dxa"/>
            <w:tcBorders>
              <w:left w:val="nil"/>
              <w:right w:val="nil"/>
            </w:tcBorders>
            <w:vAlign w:val="center"/>
          </w:tcPr>
          <w:p w14:paraId="05963EA3" w14:textId="77777777" w:rsidR="00573B8C" w:rsidRPr="00157BC5" w:rsidRDefault="00573B8C" w:rsidP="00AC2F9A">
            <w:pPr>
              <w:rPr>
                <w:rFonts w:ascii="Arial" w:hAnsi="Arial" w:cs="Arial"/>
                <w:sz w:val="18"/>
                <w:szCs w:val="16"/>
                <w:highlight w:val="yellow"/>
                <w:lang w:val="lt-LT"/>
              </w:rPr>
            </w:pPr>
            <w:r w:rsidRPr="00157BC5">
              <w:rPr>
                <w:rFonts w:ascii="Arial" w:hAnsi="Arial" w:cs="Arial"/>
                <w:sz w:val="18"/>
                <w:szCs w:val="16"/>
                <w:lang w:val="lt-LT"/>
              </w:rPr>
              <w:t>kg / gyv.</w:t>
            </w:r>
          </w:p>
        </w:tc>
        <w:tc>
          <w:tcPr>
            <w:tcW w:w="1132" w:type="dxa"/>
            <w:gridSpan w:val="2"/>
            <w:tcBorders>
              <w:left w:val="nil"/>
              <w:right w:val="nil"/>
            </w:tcBorders>
            <w:vAlign w:val="center"/>
          </w:tcPr>
          <w:p w14:paraId="6FED959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30</w:t>
            </w:r>
          </w:p>
        </w:tc>
        <w:tc>
          <w:tcPr>
            <w:tcW w:w="1202" w:type="dxa"/>
            <w:gridSpan w:val="2"/>
            <w:tcBorders>
              <w:left w:val="nil"/>
              <w:right w:val="nil"/>
            </w:tcBorders>
            <w:vAlign w:val="center"/>
          </w:tcPr>
          <w:p w14:paraId="08914376"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30</w:t>
            </w:r>
          </w:p>
        </w:tc>
        <w:tc>
          <w:tcPr>
            <w:tcW w:w="1260" w:type="dxa"/>
            <w:gridSpan w:val="2"/>
            <w:tcBorders>
              <w:left w:val="nil"/>
              <w:right w:val="nil"/>
            </w:tcBorders>
            <w:vAlign w:val="center"/>
          </w:tcPr>
          <w:p w14:paraId="47D5CBED"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&lt; 30</w:t>
            </w:r>
          </w:p>
        </w:tc>
        <w:tc>
          <w:tcPr>
            <w:tcW w:w="1502" w:type="dxa"/>
            <w:gridSpan w:val="2"/>
            <w:tcBorders>
              <w:left w:val="nil"/>
              <w:right w:val="nil"/>
            </w:tcBorders>
            <w:vAlign w:val="center"/>
          </w:tcPr>
          <w:p w14:paraId="6FFD1691"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&lt; 30</w:t>
            </w:r>
          </w:p>
        </w:tc>
      </w:tr>
      <w:tr w:rsidR="00573B8C" w:rsidRPr="00157BC5" w14:paraId="6D70A58B" w14:textId="77777777" w:rsidTr="00573B8C">
        <w:trPr>
          <w:trHeight w:val="557"/>
        </w:trPr>
        <w:tc>
          <w:tcPr>
            <w:tcW w:w="608" w:type="dxa"/>
            <w:tcBorders>
              <w:left w:val="nil"/>
              <w:right w:val="nil"/>
            </w:tcBorders>
            <w:vAlign w:val="center"/>
          </w:tcPr>
          <w:p w14:paraId="4B9C4CA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1.6</w:t>
            </w:r>
          </w:p>
        </w:tc>
        <w:tc>
          <w:tcPr>
            <w:tcW w:w="2936" w:type="dxa"/>
            <w:tcBorders>
              <w:left w:val="nil"/>
              <w:right w:val="nil"/>
            </w:tcBorders>
            <w:vAlign w:val="center"/>
          </w:tcPr>
          <w:p w14:paraId="46368AE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Vidutinis KA susidarymo pokytis 2022-2027 m.</w:t>
            </w:r>
          </w:p>
        </w:tc>
        <w:tc>
          <w:tcPr>
            <w:tcW w:w="1119" w:type="dxa"/>
            <w:tcBorders>
              <w:left w:val="nil"/>
              <w:right w:val="nil"/>
            </w:tcBorders>
            <w:vAlign w:val="center"/>
          </w:tcPr>
          <w:p w14:paraId="357C662A"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Proc./ metus</w:t>
            </w:r>
          </w:p>
        </w:tc>
        <w:tc>
          <w:tcPr>
            <w:tcW w:w="1132" w:type="dxa"/>
            <w:gridSpan w:val="2"/>
            <w:tcBorders>
              <w:left w:val="nil"/>
              <w:right w:val="nil"/>
            </w:tcBorders>
            <w:vAlign w:val="center"/>
          </w:tcPr>
          <w:p w14:paraId="0068185A"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1,7</w:t>
            </w:r>
          </w:p>
        </w:tc>
        <w:tc>
          <w:tcPr>
            <w:tcW w:w="1202" w:type="dxa"/>
            <w:gridSpan w:val="2"/>
            <w:tcBorders>
              <w:left w:val="nil"/>
              <w:right w:val="nil"/>
            </w:tcBorders>
            <w:vAlign w:val="center"/>
          </w:tcPr>
          <w:p w14:paraId="347AE5ED"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&lt;1,7</w:t>
            </w:r>
          </w:p>
        </w:tc>
        <w:tc>
          <w:tcPr>
            <w:tcW w:w="1260" w:type="dxa"/>
            <w:gridSpan w:val="2"/>
            <w:tcBorders>
              <w:left w:val="nil"/>
              <w:right w:val="nil"/>
            </w:tcBorders>
            <w:vAlign w:val="center"/>
          </w:tcPr>
          <w:p w14:paraId="69D37589"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&lt; 1,7</w:t>
            </w:r>
          </w:p>
        </w:tc>
        <w:tc>
          <w:tcPr>
            <w:tcW w:w="1502" w:type="dxa"/>
            <w:gridSpan w:val="2"/>
            <w:tcBorders>
              <w:left w:val="nil"/>
              <w:right w:val="nil"/>
            </w:tcBorders>
            <w:vAlign w:val="center"/>
          </w:tcPr>
          <w:p w14:paraId="7050F916"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&lt; 1,7</w:t>
            </w:r>
          </w:p>
        </w:tc>
      </w:tr>
      <w:tr w:rsidR="00573B8C" w:rsidRPr="00157BC5" w14:paraId="10A5537A" w14:textId="77777777" w:rsidTr="00573B8C">
        <w:trPr>
          <w:cnfStyle w:val="000000100000" w:firstRow="0" w:lastRow="0" w:firstColumn="0" w:lastColumn="0" w:oddVBand="0" w:evenVBand="0" w:oddHBand="1" w:evenHBand="0" w:firstRowFirstColumn="0" w:firstRowLastColumn="0" w:lastRowFirstColumn="0" w:lastRowLastColumn="0"/>
          <w:trHeight w:val="449"/>
        </w:trPr>
        <w:tc>
          <w:tcPr>
            <w:tcW w:w="608" w:type="dxa"/>
            <w:tcBorders>
              <w:left w:val="nil"/>
              <w:right w:val="nil"/>
            </w:tcBorders>
            <w:vAlign w:val="center"/>
          </w:tcPr>
          <w:p w14:paraId="158BBCB6"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1.7</w:t>
            </w:r>
          </w:p>
        </w:tc>
        <w:tc>
          <w:tcPr>
            <w:tcW w:w="2936" w:type="dxa"/>
            <w:tcBorders>
              <w:left w:val="nil"/>
              <w:right w:val="nil"/>
            </w:tcBorders>
            <w:vAlign w:val="center"/>
          </w:tcPr>
          <w:p w14:paraId="2CD3454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Bešeimininkių atliekų kiekio pokytis lyginant su 2020-2022 m. vidurkiu</w:t>
            </w:r>
          </w:p>
        </w:tc>
        <w:tc>
          <w:tcPr>
            <w:tcW w:w="1119" w:type="dxa"/>
            <w:tcBorders>
              <w:left w:val="nil"/>
              <w:right w:val="nil"/>
            </w:tcBorders>
            <w:vAlign w:val="center"/>
          </w:tcPr>
          <w:p w14:paraId="40162A69"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Proc.</w:t>
            </w:r>
          </w:p>
        </w:tc>
        <w:tc>
          <w:tcPr>
            <w:tcW w:w="1132" w:type="dxa"/>
            <w:gridSpan w:val="2"/>
            <w:tcBorders>
              <w:left w:val="nil"/>
              <w:right w:val="nil"/>
            </w:tcBorders>
            <w:vAlign w:val="center"/>
          </w:tcPr>
          <w:p w14:paraId="2D65C1A8"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20</w:t>
            </w:r>
          </w:p>
        </w:tc>
        <w:tc>
          <w:tcPr>
            <w:tcW w:w="1202" w:type="dxa"/>
            <w:gridSpan w:val="2"/>
            <w:tcBorders>
              <w:left w:val="nil"/>
              <w:right w:val="nil"/>
            </w:tcBorders>
            <w:vAlign w:val="center"/>
          </w:tcPr>
          <w:p w14:paraId="33C316C2"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30</w:t>
            </w:r>
          </w:p>
        </w:tc>
        <w:tc>
          <w:tcPr>
            <w:tcW w:w="1260" w:type="dxa"/>
            <w:gridSpan w:val="2"/>
            <w:tcBorders>
              <w:left w:val="nil"/>
              <w:right w:val="nil"/>
            </w:tcBorders>
            <w:vAlign w:val="center"/>
          </w:tcPr>
          <w:p w14:paraId="5E4CEA50"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&lt; 40</w:t>
            </w:r>
          </w:p>
        </w:tc>
        <w:tc>
          <w:tcPr>
            <w:tcW w:w="1502" w:type="dxa"/>
            <w:gridSpan w:val="2"/>
            <w:tcBorders>
              <w:left w:val="nil"/>
              <w:right w:val="nil"/>
            </w:tcBorders>
            <w:vAlign w:val="center"/>
          </w:tcPr>
          <w:p w14:paraId="47C5F719"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&lt; 50</w:t>
            </w:r>
          </w:p>
        </w:tc>
      </w:tr>
      <w:tr w:rsidR="00573B8C" w:rsidRPr="00157BC5" w14:paraId="7AB25DFD" w14:textId="77777777" w:rsidTr="00573B8C">
        <w:trPr>
          <w:trHeight w:val="386"/>
        </w:trPr>
        <w:tc>
          <w:tcPr>
            <w:tcW w:w="608" w:type="dxa"/>
            <w:tcBorders>
              <w:left w:val="nil"/>
              <w:right w:val="nil"/>
            </w:tcBorders>
            <w:vAlign w:val="center"/>
          </w:tcPr>
          <w:p w14:paraId="3180172F" w14:textId="77777777" w:rsidR="00573B8C" w:rsidRPr="00157BC5" w:rsidDel="001A241E" w:rsidRDefault="00573B8C" w:rsidP="00AC2F9A">
            <w:pPr>
              <w:rPr>
                <w:rFonts w:ascii="Arial" w:hAnsi="Arial" w:cs="Arial"/>
                <w:b/>
                <w:bCs/>
                <w:sz w:val="18"/>
                <w:szCs w:val="16"/>
                <w:lang w:val="lt-LT"/>
              </w:rPr>
            </w:pPr>
          </w:p>
        </w:tc>
        <w:tc>
          <w:tcPr>
            <w:tcW w:w="9148" w:type="dxa"/>
            <w:gridSpan w:val="10"/>
            <w:tcBorders>
              <w:left w:val="nil"/>
              <w:right w:val="nil"/>
            </w:tcBorders>
            <w:vAlign w:val="center"/>
          </w:tcPr>
          <w:p w14:paraId="1A0631D4"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2 tikslas. Plėsti komunalinių atliekų tvarkymą susidarymo vietoje bei rūšiuojamąjį surinkimą</w:t>
            </w:r>
          </w:p>
        </w:tc>
      </w:tr>
      <w:tr w:rsidR="00573B8C" w:rsidRPr="00157BC5" w14:paraId="075710B7" w14:textId="77777777" w:rsidTr="00573B8C">
        <w:trPr>
          <w:cnfStyle w:val="000000100000" w:firstRow="0" w:lastRow="0" w:firstColumn="0" w:lastColumn="0" w:oddVBand="0" w:evenVBand="0" w:oddHBand="1" w:evenHBand="0" w:firstRowFirstColumn="0" w:firstRowLastColumn="0" w:lastRowFirstColumn="0" w:lastRowLastColumn="0"/>
          <w:trHeight w:val="593"/>
        </w:trPr>
        <w:tc>
          <w:tcPr>
            <w:tcW w:w="608" w:type="dxa"/>
            <w:tcBorders>
              <w:left w:val="nil"/>
              <w:right w:val="nil"/>
            </w:tcBorders>
            <w:vAlign w:val="center"/>
          </w:tcPr>
          <w:p w14:paraId="27CCBA28"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2.1</w:t>
            </w:r>
          </w:p>
        </w:tc>
        <w:tc>
          <w:tcPr>
            <w:tcW w:w="2936" w:type="dxa"/>
            <w:tcBorders>
              <w:left w:val="nil"/>
              <w:right w:val="nil"/>
            </w:tcBorders>
            <w:vAlign w:val="center"/>
          </w:tcPr>
          <w:p w14:paraId="740E651F"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Rūšiuojamuoju būdu surinktų maisto-virtuvės atliekų, žaliųjų atliekų ir susidarančių maisto-virtuvės, žaliųjų atliekų kiekio santykis </w:t>
            </w:r>
          </w:p>
        </w:tc>
        <w:tc>
          <w:tcPr>
            <w:tcW w:w="1119" w:type="dxa"/>
            <w:tcBorders>
              <w:left w:val="nil"/>
              <w:right w:val="nil"/>
            </w:tcBorders>
            <w:vAlign w:val="center"/>
          </w:tcPr>
          <w:p w14:paraId="674A593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Proc.</w:t>
            </w:r>
          </w:p>
        </w:tc>
        <w:tc>
          <w:tcPr>
            <w:tcW w:w="1132" w:type="dxa"/>
            <w:gridSpan w:val="2"/>
            <w:tcBorders>
              <w:left w:val="nil"/>
              <w:right w:val="nil"/>
            </w:tcBorders>
            <w:vAlign w:val="center"/>
          </w:tcPr>
          <w:p w14:paraId="2A4E401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69</w:t>
            </w:r>
          </w:p>
        </w:tc>
        <w:tc>
          <w:tcPr>
            <w:tcW w:w="1202" w:type="dxa"/>
            <w:gridSpan w:val="2"/>
            <w:tcBorders>
              <w:left w:val="nil"/>
              <w:right w:val="nil"/>
            </w:tcBorders>
            <w:vAlign w:val="center"/>
          </w:tcPr>
          <w:p w14:paraId="16FE9944"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71</w:t>
            </w:r>
          </w:p>
        </w:tc>
        <w:tc>
          <w:tcPr>
            <w:tcW w:w="1260" w:type="dxa"/>
            <w:gridSpan w:val="2"/>
            <w:tcBorders>
              <w:left w:val="nil"/>
              <w:right w:val="nil"/>
            </w:tcBorders>
            <w:vAlign w:val="center"/>
          </w:tcPr>
          <w:p w14:paraId="404A7B6D"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73</w:t>
            </w:r>
          </w:p>
        </w:tc>
        <w:tc>
          <w:tcPr>
            <w:tcW w:w="1502" w:type="dxa"/>
            <w:gridSpan w:val="2"/>
            <w:tcBorders>
              <w:left w:val="nil"/>
              <w:right w:val="nil"/>
            </w:tcBorders>
            <w:vAlign w:val="center"/>
          </w:tcPr>
          <w:p w14:paraId="046DE782"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75</w:t>
            </w:r>
          </w:p>
        </w:tc>
      </w:tr>
      <w:tr w:rsidR="00573B8C" w:rsidRPr="00157BC5" w14:paraId="3616EAAC" w14:textId="77777777" w:rsidTr="00573B8C">
        <w:trPr>
          <w:trHeight w:val="512"/>
        </w:trPr>
        <w:tc>
          <w:tcPr>
            <w:tcW w:w="608" w:type="dxa"/>
            <w:tcBorders>
              <w:left w:val="nil"/>
              <w:right w:val="nil"/>
            </w:tcBorders>
            <w:vAlign w:val="center"/>
          </w:tcPr>
          <w:p w14:paraId="3228EF95"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2.2</w:t>
            </w:r>
          </w:p>
        </w:tc>
        <w:tc>
          <w:tcPr>
            <w:tcW w:w="2936" w:type="dxa"/>
            <w:tcBorders>
              <w:left w:val="nil"/>
              <w:right w:val="nil"/>
            </w:tcBorders>
            <w:vAlign w:val="center"/>
          </w:tcPr>
          <w:p w14:paraId="677BFC52"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Rūšiuojamuoju būdu surinktų PA ir AŽ ir susidarančių PA ir AŽ kiekio santykis </w:t>
            </w:r>
          </w:p>
        </w:tc>
        <w:tc>
          <w:tcPr>
            <w:tcW w:w="1119" w:type="dxa"/>
            <w:tcBorders>
              <w:left w:val="nil"/>
              <w:right w:val="nil"/>
            </w:tcBorders>
            <w:vAlign w:val="center"/>
          </w:tcPr>
          <w:p w14:paraId="1A8BC3C9"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Proc.</w:t>
            </w:r>
          </w:p>
        </w:tc>
        <w:tc>
          <w:tcPr>
            <w:tcW w:w="1132" w:type="dxa"/>
            <w:gridSpan w:val="2"/>
            <w:tcBorders>
              <w:left w:val="nil"/>
              <w:right w:val="nil"/>
            </w:tcBorders>
            <w:vAlign w:val="center"/>
          </w:tcPr>
          <w:p w14:paraId="7EE2C25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70</w:t>
            </w:r>
          </w:p>
        </w:tc>
        <w:tc>
          <w:tcPr>
            <w:tcW w:w="1202" w:type="dxa"/>
            <w:gridSpan w:val="2"/>
            <w:tcBorders>
              <w:left w:val="nil"/>
              <w:right w:val="nil"/>
            </w:tcBorders>
            <w:vAlign w:val="center"/>
          </w:tcPr>
          <w:p w14:paraId="5C4793DF"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73</w:t>
            </w:r>
          </w:p>
        </w:tc>
        <w:tc>
          <w:tcPr>
            <w:tcW w:w="1260" w:type="dxa"/>
            <w:gridSpan w:val="2"/>
            <w:tcBorders>
              <w:left w:val="nil"/>
              <w:right w:val="nil"/>
            </w:tcBorders>
            <w:vAlign w:val="center"/>
          </w:tcPr>
          <w:p w14:paraId="4100B870"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75</w:t>
            </w:r>
          </w:p>
        </w:tc>
        <w:tc>
          <w:tcPr>
            <w:tcW w:w="1502" w:type="dxa"/>
            <w:gridSpan w:val="2"/>
            <w:tcBorders>
              <w:left w:val="nil"/>
              <w:right w:val="nil"/>
            </w:tcBorders>
            <w:vAlign w:val="center"/>
          </w:tcPr>
          <w:p w14:paraId="53B08624"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80</w:t>
            </w:r>
          </w:p>
        </w:tc>
      </w:tr>
      <w:tr w:rsidR="00573B8C" w:rsidRPr="00157BC5" w14:paraId="422EFE28" w14:textId="77777777" w:rsidTr="00573B8C">
        <w:trPr>
          <w:cnfStyle w:val="000000100000" w:firstRow="0" w:lastRow="0" w:firstColumn="0" w:lastColumn="0" w:oddVBand="0" w:evenVBand="0" w:oddHBand="1" w:evenHBand="0" w:firstRowFirstColumn="0" w:firstRowLastColumn="0" w:lastRowFirstColumn="0" w:lastRowLastColumn="0"/>
          <w:trHeight w:val="458"/>
        </w:trPr>
        <w:tc>
          <w:tcPr>
            <w:tcW w:w="608" w:type="dxa"/>
            <w:tcBorders>
              <w:left w:val="nil"/>
              <w:right w:val="nil"/>
            </w:tcBorders>
            <w:vAlign w:val="center"/>
          </w:tcPr>
          <w:p w14:paraId="283588ED"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2.3</w:t>
            </w:r>
          </w:p>
        </w:tc>
        <w:tc>
          <w:tcPr>
            <w:tcW w:w="2936" w:type="dxa"/>
            <w:tcBorders>
              <w:left w:val="nil"/>
              <w:right w:val="nil"/>
            </w:tcBorders>
            <w:vAlign w:val="center"/>
          </w:tcPr>
          <w:p w14:paraId="28D2A7A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Rūšiuojamuoju būdu surinktų kitų atliekų ir susidarančių kitų atliekų kiekio santykis </w:t>
            </w:r>
          </w:p>
        </w:tc>
        <w:tc>
          <w:tcPr>
            <w:tcW w:w="1119" w:type="dxa"/>
            <w:tcBorders>
              <w:left w:val="nil"/>
              <w:right w:val="nil"/>
            </w:tcBorders>
            <w:vAlign w:val="center"/>
          </w:tcPr>
          <w:p w14:paraId="34770E1C"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Proc.</w:t>
            </w:r>
          </w:p>
        </w:tc>
        <w:tc>
          <w:tcPr>
            <w:tcW w:w="1132" w:type="dxa"/>
            <w:gridSpan w:val="2"/>
            <w:tcBorders>
              <w:left w:val="nil"/>
              <w:right w:val="nil"/>
            </w:tcBorders>
            <w:vAlign w:val="center"/>
          </w:tcPr>
          <w:p w14:paraId="56650A7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45</w:t>
            </w:r>
          </w:p>
        </w:tc>
        <w:tc>
          <w:tcPr>
            <w:tcW w:w="1202" w:type="dxa"/>
            <w:gridSpan w:val="2"/>
            <w:tcBorders>
              <w:left w:val="nil"/>
              <w:right w:val="nil"/>
            </w:tcBorders>
            <w:vAlign w:val="center"/>
          </w:tcPr>
          <w:p w14:paraId="7D50075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55</w:t>
            </w:r>
          </w:p>
        </w:tc>
        <w:tc>
          <w:tcPr>
            <w:tcW w:w="1260" w:type="dxa"/>
            <w:gridSpan w:val="2"/>
            <w:tcBorders>
              <w:left w:val="nil"/>
              <w:right w:val="nil"/>
            </w:tcBorders>
            <w:vAlign w:val="center"/>
          </w:tcPr>
          <w:p w14:paraId="02379691"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75</w:t>
            </w:r>
          </w:p>
        </w:tc>
        <w:tc>
          <w:tcPr>
            <w:tcW w:w="1502" w:type="dxa"/>
            <w:gridSpan w:val="2"/>
            <w:tcBorders>
              <w:left w:val="nil"/>
              <w:right w:val="nil"/>
            </w:tcBorders>
            <w:vAlign w:val="center"/>
          </w:tcPr>
          <w:p w14:paraId="2997DE11"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80</w:t>
            </w:r>
          </w:p>
        </w:tc>
      </w:tr>
      <w:tr w:rsidR="00573B8C" w:rsidRPr="00157BC5" w14:paraId="56129E99" w14:textId="77777777" w:rsidTr="00573B8C">
        <w:trPr>
          <w:trHeight w:val="332"/>
        </w:trPr>
        <w:tc>
          <w:tcPr>
            <w:tcW w:w="608" w:type="dxa"/>
            <w:tcBorders>
              <w:left w:val="nil"/>
              <w:right w:val="nil"/>
            </w:tcBorders>
            <w:vAlign w:val="center"/>
          </w:tcPr>
          <w:p w14:paraId="1FD9160E" w14:textId="77777777" w:rsidR="00573B8C" w:rsidRPr="00157BC5" w:rsidRDefault="00573B8C" w:rsidP="00AC2F9A">
            <w:pPr>
              <w:rPr>
                <w:rFonts w:ascii="Arial" w:hAnsi="Arial" w:cs="Arial"/>
                <w:b/>
                <w:bCs/>
                <w:sz w:val="18"/>
                <w:szCs w:val="16"/>
                <w:lang w:val="lt-LT"/>
              </w:rPr>
            </w:pPr>
          </w:p>
        </w:tc>
        <w:tc>
          <w:tcPr>
            <w:tcW w:w="9148" w:type="dxa"/>
            <w:gridSpan w:val="10"/>
            <w:tcBorders>
              <w:left w:val="nil"/>
              <w:right w:val="nil"/>
            </w:tcBorders>
            <w:vAlign w:val="center"/>
          </w:tcPr>
          <w:p w14:paraId="662FE289"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3 tikslas. Padidinti pakartotinai naudoti paruošiamų, perdirbamų komunalinių atliekų kiekį ir mažinti šalinimą</w:t>
            </w:r>
          </w:p>
        </w:tc>
      </w:tr>
      <w:tr w:rsidR="00573B8C" w:rsidRPr="00157BC5" w14:paraId="7D4A2C7C" w14:textId="77777777" w:rsidTr="00573B8C">
        <w:trPr>
          <w:cnfStyle w:val="000000100000" w:firstRow="0" w:lastRow="0" w:firstColumn="0" w:lastColumn="0" w:oddVBand="0" w:evenVBand="0" w:oddHBand="1" w:evenHBand="0" w:firstRowFirstColumn="0" w:firstRowLastColumn="0" w:lastRowFirstColumn="0" w:lastRowLastColumn="0"/>
          <w:trHeight w:val="359"/>
        </w:trPr>
        <w:tc>
          <w:tcPr>
            <w:tcW w:w="608" w:type="dxa"/>
            <w:tcBorders>
              <w:left w:val="nil"/>
              <w:right w:val="nil"/>
            </w:tcBorders>
            <w:vAlign w:val="center"/>
          </w:tcPr>
          <w:p w14:paraId="235B44F3"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3.1</w:t>
            </w:r>
          </w:p>
        </w:tc>
        <w:tc>
          <w:tcPr>
            <w:tcW w:w="2936" w:type="dxa"/>
            <w:tcBorders>
              <w:left w:val="nil"/>
              <w:right w:val="nil"/>
            </w:tcBorders>
            <w:vAlign w:val="center"/>
          </w:tcPr>
          <w:p w14:paraId="7F70F14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Pakartotinai naudoti perduotų daiktų kiekis</w:t>
            </w:r>
          </w:p>
        </w:tc>
        <w:tc>
          <w:tcPr>
            <w:tcW w:w="1119" w:type="dxa"/>
            <w:tcBorders>
              <w:left w:val="nil"/>
              <w:right w:val="nil"/>
            </w:tcBorders>
            <w:vAlign w:val="center"/>
          </w:tcPr>
          <w:p w14:paraId="2AE5D457"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tonos</w:t>
            </w:r>
          </w:p>
        </w:tc>
        <w:tc>
          <w:tcPr>
            <w:tcW w:w="1132" w:type="dxa"/>
            <w:gridSpan w:val="2"/>
            <w:tcBorders>
              <w:left w:val="nil"/>
              <w:right w:val="nil"/>
            </w:tcBorders>
            <w:vAlign w:val="center"/>
          </w:tcPr>
          <w:p w14:paraId="4E0FDE74"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400</w:t>
            </w:r>
          </w:p>
        </w:tc>
        <w:tc>
          <w:tcPr>
            <w:tcW w:w="1202" w:type="dxa"/>
            <w:gridSpan w:val="2"/>
            <w:tcBorders>
              <w:left w:val="nil"/>
              <w:right w:val="nil"/>
            </w:tcBorders>
            <w:vAlign w:val="center"/>
          </w:tcPr>
          <w:p w14:paraId="51D5E19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700</w:t>
            </w:r>
          </w:p>
        </w:tc>
        <w:tc>
          <w:tcPr>
            <w:tcW w:w="1260" w:type="dxa"/>
            <w:gridSpan w:val="2"/>
            <w:tcBorders>
              <w:left w:val="nil"/>
              <w:right w:val="nil"/>
            </w:tcBorders>
            <w:vAlign w:val="center"/>
          </w:tcPr>
          <w:p w14:paraId="153CCC81"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1.000</w:t>
            </w:r>
          </w:p>
        </w:tc>
        <w:tc>
          <w:tcPr>
            <w:tcW w:w="1502" w:type="dxa"/>
            <w:gridSpan w:val="2"/>
            <w:tcBorders>
              <w:left w:val="nil"/>
              <w:right w:val="nil"/>
            </w:tcBorders>
            <w:vAlign w:val="center"/>
          </w:tcPr>
          <w:p w14:paraId="587E387E" w14:textId="77777777" w:rsidR="00573B8C" w:rsidRPr="00157BC5" w:rsidRDefault="00573B8C" w:rsidP="00AC2F9A">
            <w:pPr>
              <w:rPr>
                <w:rFonts w:ascii="Arial" w:hAnsi="Arial" w:cs="Arial"/>
                <w:b/>
                <w:bCs/>
                <w:sz w:val="18"/>
                <w:szCs w:val="16"/>
                <w:lang w:val="lt-LT"/>
              </w:rPr>
            </w:pPr>
            <w:r w:rsidRPr="00157BC5">
              <w:rPr>
                <w:rFonts w:ascii="Arial" w:hAnsi="Arial" w:cs="Arial"/>
                <w:b/>
                <w:bCs/>
                <w:sz w:val="18"/>
                <w:szCs w:val="16"/>
                <w:lang w:val="lt-LT"/>
              </w:rPr>
              <w:t>≥ 1.400</w:t>
            </w:r>
          </w:p>
        </w:tc>
      </w:tr>
      <w:tr w:rsidR="00573B8C" w:rsidRPr="00157BC5" w14:paraId="20B2678E" w14:textId="77777777" w:rsidTr="00573B8C">
        <w:trPr>
          <w:trHeight w:val="440"/>
        </w:trPr>
        <w:tc>
          <w:tcPr>
            <w:tcW w:w="608" w:type="dxa"/>
            <w:tcBorders>
              <w:left w:val="nil"/>
              <w:right w:val="nil"/>
            </w:tcBorders>
            <w:vAlign w:val="center"/>
          </w:tcPr>
          <w:p w14:paraId="219994C6"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3.2</w:t>
            </w:r>
          </w:p>
        </w:tc>
        <w:tc>
          <w:tcPr>
            <w:tcW w:w="2936" w:type="dxa"/>
            <w:tcBorders>
              <w:left w:val="nil"/>
              <w:right w:val="nil"/>
            </w:tcBorders>
            <w:vAlign w:val="center"/>
          </w:tcPr>
          <w:p w14:paraId="1BED2FFF"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Perduotų perdirbti / perdirbtų KA kiekis lyginant su susidarančiu KA kiekiu </w:t>
            </w:r>
          </w:p>
        </w:tc>
        <w:tc>
          <w:tcPr>
            <w:tcW w:w="1119" w:type="dxa"/>
            <w:tcBorders>
              <w:left w:val="nil"/>
              <w:right w:val="nil"/>
            </w:tcBorders>
            <w:vAlign w:val="center"/>
          </w:tcPr>
          <w:p w14:paraId="755708B9"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75</w:t>
            </w:r>
          </w:p>
        </w:tc>
        <w:tc>
          <w:tcPr>
            <w:tcW w:w="1132" w:type="dxa"/>
            <w:gridSpan w:val="2"/>
            <w:tcBorders>
              <w:left w:val="nil"/>
              <w:right w:val="nil"/>
            </w:tcBorders>
            <w:vAlign w:val="center"/>
          </w:tcPr>
          <w:p w14:paraId="26F69F2A"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80</w:t>
            </w:r>
          </w:p>
        </w:tc>
        <w:tc>
          <w:tcPr>
            <w:tcW w:w="1202" w:type="dxa"/>
            <w:gridSpan w:val="2"/>
            <w:tcBorders>
              <w:left w:val="nil"/>
              <w:right w:val="nil"/>
            </w:tcBorders>
            <w:vAlign w:val="center"/>
          </w:tcPr>
          <w:p w14:paraId="5E44CEC5"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50</w:t>
            </w:r>
          </w:p>
        </w:tc>
        <w:tc>
          <w:tcPr>
            <w:tcW w:w="1260" w:type="dxa"/>
            <w:gridSpan w:val="2"/>
            <w:tcBorders>
              <w:left w:val="nil"/>
              <w:right w:val="nil"/>
            </w:tcBorders>
            <w:vAlign w:val="center"/>
          </w:tcPr>
          <w:p w14:paraId="10BD4478"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55</w:t>
            </w:r>
          </w:p>
        </w:tc>
        <w:tc>
          <w:tcPr>
            <w:tcW w:w="1502" w:type="dxa"/>
            <w:gridSpan w:val="2"/>
            <w:tcBorders>
              <w:left w:val="nil"/>
              <w:right w:val="nil"/>
            </w:tcBorders>
            <w:vAlign w:val="center"/>
          </w:tcPr>
          <w:p w14:paraId="47F86E75"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 75</w:t>
            </w:r>
          </w:p>
        </w:tc>
      </w:tr>
      <w:tr w:rsidR="00573B8C" w:rsidRPr="00157BC5" w14:paraId="2900CCBB" w14:textId="77777777" w:rsidTr="00573B8C">
        <w:trPr>
          <w:cnfStyle w:val="000000100000" w:firstRow="0" w:lastRow="0" w:firstColumn="0" w:lastColumn="0" w:oddVBand="0" w:evenVBand="0" w:oddHBand="1" w:evenHBand="0" w:firstRowFirstColumn="0" w:firstRowLastColumn="0" w:lastRowFirstColumn="0" w:lastRowLastColumn="0"/>
          <w:trHeight w:val="440"/>
        </w:trPr>
        <w:tc>
          <w:tcPr>
            <w:tcW w:w="608" w:type="dxa"/>
            <w:tcBorders>
              <w:left w:val="nil"/>
              <w:right w:val="nil"/>
            </w:tcBorders>
            <w:vAlign w:val="center"/>
          </w:tcPr>
          <w:p w14:paraId="773B7F62"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3.3</w:t>
            </w:r>
          </w:p>
        </w:tc>
        <w:tc>
          <w:tcPr>
            <w:tcW w:w="2936" w:type="dxa"/>
            <w:tcBorders>
              <w:left w:val="nil"/>
              <w:right w:val="nil"/>
            </w:tcBorders>
            <w:vAlign w:val="center"/>
          </w:tcPr>
          <w:p w14:paraId="4092D9C6"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Pašalintų KA dalis nuo susidarančių KA </w:t>
            </w:r>
          </w:p>
        </w:tc>
        <w:tc>
          <w:tcPr>
            <w:tcW w:w="1119" w:type="dxa"/>
            <w:tcBorders>
              <w:left w:val="nil"/>
              <w:right w:val="nil"/>
            </w:tcBorders>
            <w:vAlign w:val="center"/>
          </w:tcPr>
          <w:p w14:paraId="5CB94E7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11</w:t>
            </w:r>
          </w:p>
        </w:tc>
        <w:tc>
          <w:tcPr>
            <w:tcW w:w="1132" w:type="dxa"/>
            <w:gridSpan w:val="2"/>
            <w:tcBorders>
              <w:left w:val="nil"/>
              <w:right w:val="nil"/>
            </w:tcBorders>
            <w:vAlign w:val="center"/>
          </w:tcPr>
          <w:p w14:paraId="4C049E73"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10</w:t>
            </w:r>
          </w:p>
        </w:tc>
        <w:tc>
          <w:tcPr>
            <w:tcW w:w="1202" w:type="dxa"/>
            <w:gridSpan w:val="2"/>
            <w:tcBorders>
              <w:left w:val="nil"/>
              <w:right w:val="nil"/>
            </w:tcBorders>
            <w:vAlign w:val="center"/>
          </w:tcPr>
          <w:p w14:paraId="683F6C7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9</w:t>
            </w:r>
          </w:p>
        </w:tc>
        <w:tc>
          <w:tcPr>
            <w:tcW w:w="1260" w:type="dxa"/>
            <w:gridSpan w:val="2"/>
            <w:tcBorders>
              <w:left w:val="nil"/>
              <w:right w:val="nil"/>
            </w:tcBorders>
            <w:vAlign w:val="center"/>
          </w:tcPr>
          <w:p w14:paraId="64318831"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&lt; 8</w:t>
            </w:r>
          </w:p>
        </w:tc>
        <w:tc>
          <w:tcPr>
            <w:tcW w:w="1502" w:type="dxa"/>
            <w:gridSpan w:val="2"/>
            <w:tcBorders>
              <w:left w:val="nil"/>
              <w:right w:val="nil"/>
            </w:tcBorders>
            <w:vAlign w:val="center"/>
          </w:tcPr>
          <w:p w14:paraId="5B42B403"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&lt; 11</w:t>
            </w:r>
          </w:p>
        </w:tc>
      </w:tr>
      <w:tr w:rsidR="00573B8C" w:rsidRPr="00157BC5" w14:paraId="6C0FE010" w14:textId="77777777" w:rsidTr="00573B8C">
        <w:trPr>
          <w:trHeight w:val="431"/>
        </w:trPr>
        <w:tc>
          <w:tcPr>
            <w:tcW w:w="608" w:type="dxa"/>
            <w:tcBorders>
              <w:left w:val="nil"/>
              <w:right w:val="nil"/>
            </w:tcBorders>
            <w:vAlign w:val="center"/>
          </w:tcPr>
          <w:p w14:paraId="1EBADC28"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3.4</w:t>
            </w:r>
          </w:p>
        </w:tc>
        <w:tc>
          <w:tcPr>
            <w:tcW w:w="2936" w:type="dxa"/>
            <w:tcBorders>
              <w:left w:val="nil"/>
              <w:right w:val="nil"/>
            </w:tcBorders>
            <w:vAlign w:val="center"/>
          </w:tcPr>
          <w:p w14:paraId="019CA32E"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Komunalinių atliekų tvarkymo veikloje susidarančių CO</w:t>
            </w:r>
            <w:r w:rsidRPr="00157BC5">
              <w:rPr>
                <w:rFonts w:ascii="Arial" w:hAnsi="Arial" w:cs="Arial"/>
                <w:sz w:val="18"/>
                <w:szCs w:val="16"/>
                <w:vertAlign w:val="subscript"/>
                <w:lang w:val="lt-LT"/>
              </w:rPr>
              <w:t>2</w:t>
            </w:r>
            <w:r w:rsidRPr="00157BC5">
              <w:rPr>
                <w:rFonts w:ascii="Arial" w:hAnsi="Arial" w:cs="Arial"/>
                <w:sz w:val="18"/>
                <w:szCs w:val="16"/>
                <w:lang w:val="lt-LT"/>
              </w:rPr>
              <w:t xml:space="preserve"> emisijų pokytis</w:t>
            </w:r>
          </w:p>
        </w:tc>
        <w:tc>
          <w:tcPr>
            <w:tcW w:w="1119" w:type="dxa"/>
            <w:tcBorders>
              <w:left w:val="nil"/>
              <w:right w:val="nil"/>
            </w:tcBorders>
            <w:vAlign w:val="center"/>
          </w:tcPr>
          <w:p w14:paraId="712CDB79"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t CO</w:t>
            </w:r>
            <w:r w:rsidRPr="00157BC5">
              <w:rPr>
                <w:rFonts w:ascii="Arial" w:hAnsi="Arial" w:cs="Arial"/>
                <w:sz w:val="18"/>
                <w:szCs w:val="16"/>
                <w:vertAlign w:val="subscript"/>
                <w:lang w:val="lt-LT"/>
              </w:rPr>
              <w:t>2</w:t>
            </w:r>
            <w:r w:rsidRPr="00157BC5">
              <w:rPr>
                <w:rFonts w:ascii="Arial" w:hAnsi="Arial" w:cs="Arial"/>
                <w:sz w:val="18"/>
                <w:szCs w:val="16"/>
                <w:lang w:val="lt-LT"/>
              </w:rPr>
              <w:t>e</w:t>
            </w:r>
          </w:p>
        </w:tc>
        <w:tc>
          <w:tcPr>
            <w:tcW w:w="1132" w:type="dxa"/>
            <w:gridSpan w:val="2"/>
            <w:tcBorders>
              <w:left w:val="nil"/>
              <w:right w:val="nil"/>
            </w:tcBorders>
            <w:vAlign w:val="center"/>
          </w:tcPr>
          <w:p w14:paraId="60ECA0E6"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 xml:space="preserve">M &lt; M+1 </w:t>
            </w:r>
          </w:p>
        </w:tc>
        <w:tc>
          <w:tcPr>
            <w:tcW w:w="1202" w:type="dxa"/>
            <w:gridSpan w:val="2"/>
            <w:tcBorders>
              <w:left w:val="nil"/>
              <w:right w:val="nil"/>
            </w:tcBorders>
            <w:vAlign w:val="center"/>
          </w:tcPr>
          <w:p w14:paraId="70E58B2B"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M &lt; M+1</w:t>
            </w:r>
          </w:p>
        </w:tc>
        <w:tc>
          <w:tcPr>
            <w:tcW w:w="1260" w:type="dxa"/>
            <w:gridSpan w:val="2"/>
            <w:tcBorders>
              <w:left w:val="nil"/>
              <w:right w:val="nil"/>
            </w:tcBorders>
            <w:vAlign w:val="center"/>
          </w:tcPr>
          <w:p w14:paraId="3118D4E0" w14:textId="77777777" w:rsidR="00573B8C" w:rsidRPr="00157BC5" w:rsidRDefault="00573B8C" w:rsidP="00AC2F9A">
            <w:pPr>
              <w:rPr>
                <w:rFonts w:ascii="Arial" w:hAnsi="Arial" w:cs="Arial"/>
                <w:sz w:val="18"/>
                <w:szCs w:val="16"/>
                <w:lang w:val="lt-LT"/>
              </w:rPr>
            </w:pPr>
            <w:r w:rsidRPr="00157BC5">
              <w:rPr>
                <w:rFonts w:ascii="Arial" w:hAnsi="Arial" w:cs="Arial"/>
                <w:sz w:val="18"/>
                <w:szCs w:val="16"/>
                <w:lang w:val="lt-LT"/>
              </w:rPr>
              <w:t>M &lt; M+1</w:t>
            </w:r>
          </w:p>
        </w:tc>
        <w:tc>
          <w:tcPr>
            <w:tcW w:w="1502" w:type="dxa"/>
            <w:gridSpan w:val="2"/>
            <w:tcBorders>
              <w:left w:val="nil"/>
              <w:right w:val="nil"/>
            </w:tcBorders>
            <w:vAlign w:val="center"/>
          </w:tcPr>
          <w:p w14:paraId="20AB70B7" w14:textId="77777777" w:rsidR="00573B8C" w:rsidRPr="00157BC5" w:rsidRDefault="00573B8C" w:rsidP="00AC2F9A">
            <w:pPr>
              <w:rPr>
                <w:rFonts w:ascii="Arial" w:hAnsi="Arial" w:cs="Arial"/>
                <w:b/>
                <w:bCs/>
                <w:sz w:val="18"/>
                <w:szCs w:val="16"/>
                <w:lang w:val="lt-LT"/>
              </w:rPr>
            </w:pPr>
            <w:r w:rsidRPr="00157BC5">
              <w:rPr>
                <w:rFonts w:ascii="Arial" w:hAnsi="Arial" w:cs="Arial"/>
                <w:sz w:val="18"/>
                <w:szCs w:val="16"/>
                <w:lang w:val="lt-LT"/>
              </w:rPr>
              <w:t>M &lt; M+1</w:t>
            </w:r>
          </w:p>
        </w:tc>
      </w:tr>
    </w:tbl>
    <w:p w14:paraId="3A6E4073" w14:textId="77777777" w:rsidR="00771765" w:rsidRDefault="00771765" w:rsidP="0020626A">
      <w:pPr>
        <w:jc w:val="both"/>
        <w:rPr>
          <w:rFonts w:ascii="Arial" w:eastAsiaTheme="minorHAnsi" w:hAnsi="Arial" w:cs="Arial"/>
          <w:color w:val="000000"/>
          <w:kern w:val="0"/>
          <w:lang w:val="lt-LT" w:eastAsia="en-US"/>
          <w14:ligatures w14:val="none"/>
        </w:rPr>
      </w:pPr>
    </w:p>
    <w:p w14:paraId="19B2B487" w14:textId="77777777" w:rsidR="004970D8" w:rsidRPr="004970D8" w:rsidRDefault="004970D8" w:rsidP="004970D8">
      <w:pPr>
        <w:rPr>
          <w:rFonts w:ascii="Arial" w:eastAsiaTheme="minorHAnsi" w:hAnsi="Arial" w:cs="Arial"/>
          <w:lang w:val="lt-LT" w:eastAsia="en-US"/>
        </w:rPr>
      </w:pPr>
    </w:p>
    <w:sectPr w:rsidR="004970D8" w:rsidRPr="00497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4CAD" w14:textId="77777777" w:rsidR="00573B8C" w:rsidRDefault="00573B8C" w:rsidP="00573B8C">
      <w:pPr>
        <w:spacing w:after="0" w:line="240" w:lineRule="auto"/>
      </w:pPr>
      <w:r>
        <w:separator/>
      </w:r>
    </w:p>
  </w:endnote>
  <w:endnote w:type="continuationSeparator" w:id="0">
    <w:p w14:paraId="37CA8CBE" w14:textId="77777777" w:rsidR="00573B8C" w:rsidRDefault="00573B8C" w:rsidP="0057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1139" w14:textId="77777777" w:rsidR="00573B8C" w:rsidRDefault="00573B8C" w:rsidP="00573B8C">
      <w:pPr>
        <w:spacing w:after="0" w:line="240" w:lineRule="auto"/>
      </w:pPr>
      <w:r>
        <w:separator/>
      </w:r>
    </w:p>
  </w:footnote>
  <w:footnote w:type="continuationSeparator" w:id="0">
    <w:p w14:paraId="7FFE6F55" w14:textId="77777777" w:rsidR="00573B8C" w:rsidRDefault="00573B8C" w:rsidP="00573B8C">
      <w:pPr>
        <w:spacing w:after="0" w:line="240" w:lineRule="auto"/>
      </w:pPr>
      <w:r>
        <w:continuationSeparator/>
      </w:r>
    </w:p>
  </w:footnote>
  <w:footnote w:id="1">
    <w:p w14:paraId="3813BFDF" w14:textId="77777777" w:rsidR="00573B8C" w:rsidRPr="00CE759A" w:rsidRDefault="00573B8C" w:rsidP="00573B8C">
      <w:pPr>
        <w:pStyle w:val="Puslapioinaostekstas"/>
        <w:rPr>
          <w:rFonts w:ascii="Times New Roman" w:hAnsi="Times New Roman" w:cs="Times New Roman"/>
          <w:sz w:val="16"/>
          <w:szCs w:val="16"/>
          <w:lang w:val="lt-LT"/>
        </w:rPr>
      </w:pPr>
      <w:r w:rsidRPr="00CE759A">
        <w:rPr>
          <w:rStyle w:val="Puslapioinaosnuoroda"/>
          <w:rFonts w:ascii="Times New Roman" w:hAnsi="Times New Roman" w:cs="Times New Roman"/>
          <w:sz w:val="16"/>
          <w:szCs w:val="16"/>
          <w:lang w:val="lt-LT"/>
        </w:rPr>
        <w:footnoteRef/>
      </w:r>
      <w:r w:rsidRPr="00CE759A">
        <w:rPr>
          <w:rFonts w:ascii="Times New Roman" w:hAnsi="Times New Roman" w:cs="Times New Roman"/>
          <w:sz w:val="16"/>
          <w:szCs w:val="16"/>
          <w:lang w:val="lt-LT"/>
        </w:rPr>
        <w:t xml:space="preserve"> Rodiklio reikšmė nustatoma ir palyginama kiekvienais metais. Rodiklio santrumpos: L – PA ir AŽ kiekio susidarančio vienam gyv. pokytis (proc.) Lietuvoje, A – PA ir AŽ kiekio susidarančio vienam gyv. pokytis (proc.) Alytaus regionas.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F3D"/>
    <w:multiLevelType w:val="multilevel"/>
    <w:tmpl w:val="CC44E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D519D"/>
    <w:multiLevelType w:val="hybridMultilevel"/>
    <w:tmpl w:val="A9583F78"/>
    <w:lvl w:ilvl="0" w:tplc="FFFFFFFF">
      <w:start w:val="1"/>
      <w:numFmt w:val="bullet"/>
      <w:pStyle w:val="Bullet"/>
      <w:lvlText w:val=""/>
      <w:lvlJc w:val="left"/>
      <w:pPr>
        <w:ind w:left="928" w:hanging="360"/>
      </w:pPr>
      <w:rPr>
        <w:rFonts w:ascii="Symbol" w:hAnsi="Symbol" w:hint="default"/>
        <w:color w:val="1F7B62"/>
        <w:sz w:val="22"/>
        <w:szCs w:val="22"/>
      </w:rPr>
    </w:lvl>
    <w:lvl w:ilvl="1" w:tplc="FFFFFFFF">
      <w:start w:val="1"/>
      <w:numFmt w:val="bullet"/>
      <w:lvlText w:val=""/>
      <w:lvlJc w:val="left"/>
      <w:pPr>
        <w:ind w:left="1440" w:hanging="360"/>
      </w:pPr>
      <w:rPr>
        <w:rFonts w:ascii="Symbol" w:hAnsi="Symbol" w:hint="default"/>
        <w:color w:val="808080"/>
        <w:sz w:val="22"/>
        <w:szCs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512CA2"/>
    <w:multiLevelType w:val="hybridMultilevel"/>
    <w:tmpl w:val="E8AA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E1BC9"/>
    <w:multiLevelType w:val="multilevel"/>
    <w:tmpl w:val="28BC2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4336056">
    <w:abstractNumId w:val="3"/>
  </w:num>
  <w:num w:numId="2" w16cid:durableId="688802079">
    <w:abstractNumId w:val="0"/>
  </w:num>
  <w:num w:numId="3" w16cid:durableId="2103724550">
    <w:abstractNumId w:val="1"/>
  </w:num>
  <w:num w:numId="4" w16cid:durableId="3277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E5"/>
    <w:rsid w:val="00022CAB"/>
    <w:rsid w:val="000D5654"/>
    <w:rsid w:val="000E2EB6"/>
    <w:rsid w:val="000F3C77"/>
    <w:rsid w:val="001062D8"/>
    <w:rsid w:val="001461FE"/>
    <w:rsid w:val="00157BC5"/>
    <w:rsid w:val="00174C1B"/>
    <w:rsid w:val="001F5479"/>
    <w:rsid w:val="0020626A"/>
    <w:rsid w:val="00215559"/>
    <w:rsid w:val="00234329"/>
    <w:rsid w:val="002D26F0"/>
    <w:rsid w:val="00340816"/>
    <w:rsid w:val="004142D2"/>
    <w:rsid w:val="00451D56"/>
    <w:rsid w:val="004970D8"/>
    <w:rsid w:val="004D7772"/>
    <w:rsid w:val="00542915"/>
    <w:rsid w:val="00573B8C"/>
    <w:rsid w:val="005A44E8"/>
    <w:rsid w:val="005A76DC"/>
    <w:rsid w:val="005C3B05"/>
    <w:rsid w:val="00600601"/>
    <w:rsid w:val="006111A9"/>
    <w:rsid w:val="00681FA3"/>
    <w:rsid w:val="00696187"/>
    <w:rsid w:val="006D5E38"/>
    <w:rsid w:val="00733521"/>
    <w:rsid w:val="00747CED"/>
    <w:rsid w:val="007651CD"/>
    <w:rsid w:val="00771765"/>
    <w:rsid w:val="00790288"/>
    <w:rsid w:val="007F3F5A"/>
    <w:rsid w:val="00865A4D"/>
    <w:rsid w:val="008D52B0"/>
    <w:rsid w:val="008D6816"/>
    <w:rsid w:val="009221CC"/>
    <w:rsid w:val="00940279"/>
    <w:rsid w:val="00955D91"/>
    <w:rsid w:val="00960CB9"/>
    <w:rsid w:val="00973FBD"/>
    <w:rsid w:val="009C0976"/>
    <w:rsid w:val="00A27391"/>
    <w:rsid w:val="00A40B6E"/>
    <w:rsid w:val="00A639E5"/>
    <w:rsid w:val="00A845AD"/>
    <w:rsid w:val="00AD35BC"/>
    <w:rsid w:val="00B73583"/>
    <w:rsid w:val="00B87068"/>
    <w:rsid w:val="00BC7280"/>
    <w:rsid w:val="00C06866"/>
    <w:rsid w:val="00C12F0C"/>
    <w:rsid w:val="00CD4FB2"/>
    <w:rsid w:val="00D22EBA"/>
    <w:rsid w:val="00D2639A"/>
    <w:rsid w:val="00D47419"/>
    <w:rsid w:val="00E048BC"/>
    <w:rsid w:val="00E108B7"/>
    <w:rsid w:val="00EB6DA5"/>
    <w:rsid w:val="00EC02FA"/>
    <w:rsid w:val="00F46E3E"/>
    <w:rsid w:val="00F74147"/>
    <w:rsid w:val="00F7750E"/>
    <w:rsid w:val="00FF2CC2"/>
    <w:rsid w:val="00FF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0160"/>
  <w15:docId w15:val="{2194D16A-AE0D-4A22-9F52-C39C617D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ullet">
    <w:name w:val="Bullet"/>
    <w:basedOn w:val="prastasis"/>
    <w:link w:val="BulletChar"/>
    <w:qFormat/>
    <w:rsid w:val="00B87068"/>
    <w:pPr>
      <w:numPr>
        <w:numId w:val="3"/>
      </w:numPr>
      <w:spacing w:before="160" w:after="80" w:line="240" w:lineRule="auto"/>
      <w:jc w:val="both"/>
    </w:pPr>
    <w:rPr>
      <w:rFonts w:ascii="Calibri Light" w:eastAsiaTheme="minorHAnsi" w:hAnsi="Calibri Light"/>
      <w:kern w:val="0"/>
      <w:sz w:val="21"/>
      <w:szCs w:val="20"/>
      <w:lang w:val="lt-LT" w:eastAsia="en-US"/>
      <w14:ligatures w14:val="none"/>
    </w:rPr>
  </w:style>
  <w:style w:type="character" w:customStyle="1" w:styleId="BulletChar">
    <w:name w:val="Bullet Char"/>
    <w:basedOn w:val="Numatytasispastraiposriftas"/>
    <w:link w:val="Bullet"/>
    <w:rsid w:val="00B87068"/>
    <w:rPr>
      <w:rFonts w:ascii="Calibri Light" w:eastAsiaTheme="minorHAnsi" w:hAnsi="Calibri Light"/>
      <w:kern w:val="0"/>
      <w:sz w:val="21"/>
      <w:szCs w:val="20"/>
      <w:lang w:val="lt-LT" w:eastAsia="en-US"/>
      <w14:ligatures w14:val="none"/>
    </w:rPr>
  </w:style>
  <w:style w:type="paragraph" w:styleId="Sraopastraipa">
    <w:name w:val="List Paragraph"/>
    <w:basedOn w:val="prastasis"/>
    <w:uiPriority w:val="34"/>
    <w:qFormat/>
    <w:rsid w:val="00B87068"/>
    <w:pPr>
      <w:ind w:left="720"/>
      <w:contextualSpacing/>
    </w:pPr>
  </w:style>
  <w:style w:type="character" w:styleId="Hipersaitas">
    <w:name w:val="Hyperlink"/>
    <w:basedOn w:val="Numatytasispastraiposriftas"/>
    <w:uiPriority w:val="99"/>
    <w:unhideWhenUsed/>
    <w:rsid w:val="00AD35BC"/>
    <w:rPr>
      <w:color w:val="0563C1" w:themeColor="hyperlink"/>
      <w:u w:val="single"/>
    </w:rPr>
  </w:style>
  <w:style w:type="table" w:styleId="Lentelstinklelis">
    <w:name w:val="Table Grid"/>
    <w:basedOn w:val="prastojilentel"/>
    <w:uiPriority w:val="39"/>
    <w:rsid w:val="00AD35B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ableContent">
    <w:name w:val="SC Table Content"/>
    <w:basedOn w:val="prastasis"/>
    <w:link w:val="SCTableContentDiagrama"/>
    <w:qFormat/>
    <w:rsid w:val="006111A9"/>
    <w:pPr>
      <w:spacing w:before="60" w:after="60" w:line="240" w:lineRule="auto"/>
      <w:jc w:val="both"/>
    </w:pPr>
    <w:rPr>
      <w:rFonts w:ascii="Calibri Light" w:eastAsiaTheme="minorHAnsi" w:hAnsi="Calibri Light"/>
      <w:kern w:val="0"/>
      <w:sz w:val="18"/>
      <w:szCs w:val="20"/>
      <w:lang w:val="lt-LT" w:eastAsia="ar-SA"/>
      <w14:ligatures w14:val="none"/>
    </w:rPr>
  </w:style>
  <w:style w:type="character" w:customStyle="1" w:styleId="SCTableContentDiagrama">
    <w:name w:val="SC Table Content Diagrama"/>
    <w:basedOn w:val="Numatytasispastraiposriftas"/>
    <w:link w:val="SCTableContent"/>
    <w:rsid w:val="006111A9"/>
    <w:rPr>
      <w:rFonts w:ascii="Calibri Light" w:eastAsiaTheme="minorHAnsi" w:hAnsi="Calibri Light"/>
      <w:kern w:val="0"/>
      <w:sz w:val="18"/>
      <w:szCs w:val="20"/>
      <w:lang w:val="lt-LT" w:eastAsia="ar-SA"/>
      <w14:ligatures w14:val="none"/>
    </w:rPr>
  </w:style>
  <w:style w:type="paragraph" w:customStyle="1" w:styleId="SCTableHeaderrow">
    <w:name w:val="SC Table Header row"/>
    <w:basedOn w:val="SCTableContent"/>
    <w:link w:val="SCTableHeaderrowChar"/>
    <w:qFormat/>
    <w:rsid w:val="006111A9"/>
    <w:pPr>
      <w:jc w:val="center"/>
    </w:pPr>
    <w:rPr>
      <w:b/>
      <w:bCs/>
      <w:color w:val="FFFFFF" w:themeColor="background1"/>
    </w:rPr>
  </w:style>
  <w:style w:type="character" w:customStyle="1" w:styleId="SCTableHeaderrowChar">
    <w:name w:val="SC Table Header row Char"/>
    <w:basedOn w:val="SCTableContentDiagrama"/>
    <w:link w:val="SCTableHeaderrow"/>
    <w:rsid w:val="006111A9"/>
    <w:rPr>
      <w:rFonts w:ascii="Calibri Light" w:eastAsiaTheme="minorHAnsi" w:hAnsi="Calibri Light"/>
      <w:b/>
      <w:bCs/>
      <w:color w:val="FFFFFF" w:themeColor="background1"/>
      <w:kern w:val="0"/>
      <w:sz w:val="18"/>
      <w:szCs w:val="20"/>
      <w:lang w:val="lt-LT" w:eastAsia="ar-SA"/>
      <w14:ligatures w14:val="none"/>
    </w:rPr>
  </w:style>
  <w:style w:type="character" w:styleId="Neapdorotaspaminjimas">
    <w:name w:val="Unresolved Mention"/>
    <w:basedOn w:val="Numatytasispastraiposriftas"/>
    <w:uiPriority w:val="99"/>
    <w:semiHidden/>
    <w:unhideWhenUsed/>
    <w:rsid w:val="00733521"/>
    <w:rPr>
      <w:color w:val="605E5C"/>
      <w:shd w:val="clear" w:color="auto" w:fill="E1DFDD"/>
    </w:rPr>
  </w:style>
  <w:style w:type="paragraph" w:styleId="Puslapioinaostekstas">
    <w:name w:val="footnote text"/>
    <w:basedOn w:val="prastasis"/>
    <w:link w:val="PuslapioinaostekstasDiagrama"/>
    <w:uiPriority w:val="99"/>
    <w:unhideWhenUsed/>
    <w:rsid w:val="00573B8C"/>
    <w:pPr>
      <w:spacing w:after="0" w:line="240" w:lineRule="auto"/>
      <w:jc w:val="both"/>
    </w:pPr>
    <w:rPr>
      <w:rFonts w:ascii="Helvetica" w:eastAsiaTheme="minorHAnsi" w:hAnsi="Helvetica"/>
      <w:kern w:val="0"/>
      <w:sz w:val="20"/>
      <w:szCs w:val="20"/>
      <w:lang w:val="en-US" w:eastAsia="en-US"/>
      <w14:ligatures w14:val="none"/>
    </w:rPr>
  </w:style>
  <w:style w:type="character" w:customStyle="1" w:styleId="PuslapioinaostekstasDiagrama">
    <w:name w:val="Puslapio išnašos tekstas Diagrama"/>
    <w:basedOn w:val="Numatytasispastraiposriftas"/>
    <w:link w:val="Puslapioinaostekstas"/>
    <w:uiPriority w:val="99"/>
    <w:rsid w:val="00573B8C"/>
    <w:rPr>
      <w:rFonts w:ascii="Helvetica" w:eastAsiaTheme="minorHAnsi" w:hAnsi="Helvetica"/>
      <w:kern w:val="0"/>
      <w:sz w:val="20"/>
      <w:szCs w:val="20"/>
      <w:lang w:val="en-US" w:eastAsia="en-US"/>
      <w14:ligatures w14:val="none"/>
    </w:rPr>
  </w:style>
  <w:style w:type="character" w:styleId="Puslapioinaosnuoroda">
    <w:name w:val="footnote reference"/>
    <w:basedOn w:val="Numatytasispastraiposriftas"/>
    <w:uiPriority w:val="99"/>
    <w:semiHidden/>
    <w:unhideWhenUsed/>
    <w:rsid w:val="00573B8C"/>
    <w:rPr>
      <w:vertAlign w:val="superscript"/>
    </w:rPr>
  </w:style>
  <w:style w:type="table" w:styleId="2paprastojilentel">
    <w:name w:val="Plain Table 2"/>
    <w:basedOn w:val="prastojilentel"/>
    <w:uiPriority w:val="42"/>
    <w:rsid w:val="00573B8C"/>
    <w:pPr>
      <w:spacing w:after="0" w:line="240" w:lineRule="auto"/>
    </w:pPr>
    <w:rPr>
      <w:rFonts w:eastAsiaTheme="minorHAnsi"/>
      <w:kern w:val="0"/>
      <w:lang w:val="en-US"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9000">
      <w:bodyDiv w:val="1"/>
      <w:marLeft w:val="0"/>
      <w:marRight w:val="0"/>
      <w:marTop w:val="0"/>
      <w:marBottom w:val="0"/>
      <w:divBdr>
        <w:top w:val="none" w:sz="0" w:space="0" w:color="auto"/>
        <w:left w:val="none" w:sz="0" w:space="0" w:color="auto"/>
        <w:bottom w:val="none" w:sz="0" w:space="0" w:color="auto"/>
        <w:right w:val="none" w:sz="0" w:space="0" w:color="auto"/>
      </w:divBdr>
      <w:divsChild>
        <w:div w:id="1993368307">
          <w:marLeft w:val="0"/>
          <w:marRight w:val="0"/>
          <w:marTop w:val="0"/>
          <w:marBottom w:val="0"/>
          <w:divBdr>
            <w:top w:val="none" w:sz="0" w:space="0" w:color="auto"/>
            <w:left w:val="none" w:sz="0" w:space="0" w:color="auto"/>
            <w:bottom w:val="none" w:sz="0" w:space="0" w:color="auto"/>
            <w:right w:val="none" w:sz="0" w:space="0" w:color="auto"/>
          </w:divBdr>
        </w:div>
        <w:div w:id="513766635">
          <w:marLeft w:val="0"/>
          <w:marRight w:val="0"/>
          <w:marTop w:val="0"/>
          <w:marBottom w:val="0"/>
          <w:divBdr>
            <w:top w:val="none" w:sz="0" w:space="0" w:color="auto"/>
            <w:left w:val="none" w:sz="0" w:space="0" w:color="auto"/>
            <w:bottom w:val="none" w:sz="0" w:space="0" w:color="auto"/>
            <w:right w:val="none" w:sz="0" w:space="0" w:color="auto"/>
          </w:divBdr>
        </w:div>
        <w:div w:id="2034070455">
          <w:marLeft w:val="0"/>
          <w:marRight w:val="0"/>
          <w:marTop w:val="0"/>
          <w:marBottom w:val="0"/>
          <w:divBdr>
            <w:top w:val="none" w:sz="0" w:space="0" w:color="auto"/>
            <w:left w:val="none" w:sz="0" w:space="0" w:color="auto"/>
            <w:bottom w:val="none" w:sz="0" w:space="0" w:color="auto"/>
            <w:right w:val="none" w:sz="0" w:space="0" w:color="auto"/>
          </w:divBdr>
        </w:div>
        <w:div w:id="1680111124">
          <w:marLeft w:val="0"/>
          <w:marRight w:val="0"/>
          <w:marTop w:val="0"/>
          <w:marBottom w:val="0"/>
          <w:divBdr>
            <w:top w:val="none" w:sz="0" w:space="0" w:color="auto"/>
            <w:left w:val="none" w:sz="0" w:space="0" w:color="auto"/>
            <w:bottom w:val="none" w:sz="0" w:space="0" w:color="auto"/>
            <w:right w:val="none" w:sz="0" w:space="0" w:color="auto"/>
          </w:divBdr>
        </w:div>
        <w:div w:id="2101948069">
          <w:marLeft w:val="0"/>
          <w:marRight w:val="0"/>
          <w:marTop w:val="0"/>
          <w:marBottom w:val="0"/>
          <w:divBdr>
            <w:top w:val="none" w:sz="0" w:space="0" w:color="auto"/>
            <w:left w:val="none" w:sz="0" w:space="0" w:color="auto"/>
            <w:bottom w:val="none" w:sz="0" w:space="0" w:color="auto"/>
            <w:right w:val="none" w:sz="0" w:space="0" w:color="auto"/>
          </w:divBdr>
        </w:div>
        <w:div w:id="125859582">
          <w:marLeft w:val="0"/>
          <w:marRight w:val="0"/>
          <w:marTop w:val="0"/>
          <w:marBottom w:val="0"/>
          <w:divBdr>
            <w:top w:val="none" w:sz="0" w:space="0" w:color="auto"/>
            <w:left w:val="none" w:sz="0" w:space="0" w:color="auto"/>
            <w:bottom w:val="none" w:sz="0" w:space="0" w:color="auto"/>
            <w:right w:val="none" w:sz="0" w:space="0" w:color="auto"/>
          </w:divBdr>
        </w:div>
        <w:div w:id="2227641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4FD7-6453-414D-BDC4-CC90A5EF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977</Words>
  <Characters>5573</Characters>
  <Application>Microsoft Office Word</Application>
  <DocSecurity>0</DocSecurity>
  <Lines>46</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Alkauskaitė-Kokoškina</dc:creator>
  <cp:lastModifiedBy>Rasa Alkauskaitė-Kokoškina</cp:lastModifiedBy>
  <cp:revision>65</cp:revision>
  <dcterms:created xsi:type="dcterms:W3CDTF">2023-07-31T04:54:00Z</dcterms:created>
  <dcterms:modified xsi:type="dcterms:W3CDTF">2023-11-15T13:48:00Z</dcterms:modified>
</cp:coreProperties>
</file>